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832" w:rsidRDefault="004225D8" w:rsidP="00027832">
      <w:pPr>
        <w:tabs>
          <w:tab w:val="left" w:pos="2640"/>
        </w:tabs>
        <w:ind w:left="-709"/>
        <w:jc w:val="center"/>
        <w:rPr>
          <w:b/>
          <w:lang w:val="en-GB"/>
        </w:rPr>
      </w:pPr>
      <w:r w:rsidRPr="006F75E0">
        <w:rPr>
          <w:b/>
          <w:lang w:val="en-GB"/>
        </w:rPr>
        <w:t xml:space="preserve">Planning Criteria </w:t>
      </w:r>
      <w:r w:rsidR="00D7163A">
        <w:rPr>
          <w:b/>
          <w:lang w:val="en-GB"/>
        </w:rPr>
        <w:t>Grid &amp; Interconnectors</w:t>
      </w:r>
      <w:r w:rsidRPr="006F75E0">
        <w:rPr>
          <w:b/>
          <w:lang w:val="en-GB"/>
        </w:rPr>
        <w:t xml:space="preserve"> – Update 16</w:t>
      </w:r>
      <w:r w:rsidRPr="006F75E0">
        <w:rPr>
          <w:b/>
          <w:vertAlign w:val="superscript"/>
          <w:lang w:val="en-GB"/>
        </w:rPr>
        <w:t>th</w:t>
      </w:r>
      <w:r w:rsidRPr="006F75E0">
        <w:rPr>
          <w:b/>
          <w:lang w:val="en-GB"/>
        </w:rPr>
        <w:t xml:space="preserve"> of April 2019</w:t>
      </w:r>
    </w:p>
    <w:tbl>
      <w:tblPr>
        <w:tblStyle w:val="Tabellenraster"/>
        <w:tblW w:w="15843" w:type="dxa"/>
        <w:tblInd w:w="-1281" w:type="dxa"/>
        <w:tblLayout w:type="fixed"/>
        <w:tblLook w:val="04A0" w:firstRow="1" w:lastRow="0" w:firstColumn="1" w:lastColumn="0" w:noHBand="0" w:noVBand="1"/>
      </w:tblPr>
      <w:tblGrid>
        <w:gridCol w:w="2047"/>
        <w:gridCol w:w="1605"/>
        <w:gridCol w:w="1134"/>
        <w:gridCol w:w="2677"/>
        <w:gridCol w:w="2143"/>
        <w:gridCol w:w="1842"/>
        <w:gridCol w:w="2694"/>
        <w:gridCol w:w="1701"/>
      </w:tblGrid>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Pr>
                <w:sz w:val="18"/>
                <w:szCs w:val="18"/>
                <w:lang w:val="en-GB"/>
              </w:rPr>
              <w:t>Grid &amp; interconnectors</w:t>
            </w:r>
          </w:p>
        </w:tc>
        <w:tc>
          <w:tcPr>
            <w:tcW w:w="1605"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Belgium</w:t>
            </w:r>
          </w:p>
        </w:tc>
        <w:tc>
          <w:tcPr>
            <w:tcW w:w="1134"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Denmark</w:t>
            </w:r>
          </w:p>
        </w:tc>
        <w:tc>
          <w:tcPr>
            <w:tcW w:w="2677"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Germany</w:t>
            </w:r>
          </w:p>
        </w:tc>
        <w:tc>
          <w:tcPr>
            <w:tcW w:w="2143"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Netherlands</w:t>
            </w:r>
          </w:p>
        </w:tc>
        <w:tc>
          <w:tcPr>
            <w:tcW w:w="1842"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Norway</w:t>
            </w:r>
          </w:p>
        </w:tc>
        <w:tc>
          <w:tcPr>
            <w:tcW w:w="2694"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Scotland</w:t>
            </w:r>
          </w:p>
        </w:tc>
        <w:tc>
          <w:tcPr>
            <w:tcW w:w="1701" w:type="dxa"/>
            <w:shd w:val="clear" w:color="auto" w:fill="D9D9D9" w:themeFill="background1" w:themeFillShade="D9"/>
          </w:tcPr>
          <w:p w:rsidR="00D7163A" w:rsidRPr="00551266" w:rsidRDefault="00D7163A" w:rsidP="00820E66">
            <w:pPr>
              <w:rPr>
                <w:sz w:val="18"/>
                <w:szCs w:val="18"/>
                <w:lang w:val="en-GB"/>
              </w:rPr>
            </w:pPr>
            <w:r w:rsidRPr="00551266">
              <w:rPr>
                <w:sz w:val="18"/>
                <w:szCs w:val="18"/>
                <w:lang w:val="en-GB"/>
              </w:rPr>
              <w:t>Sweden</w:t>
            </w:r>
          </w:p>
        </w:tc>
      </w:tr>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Pr>
                <w:sz w:val="18"/>
                <w:szCs w:val="18"/>
                <w:lang w:val="en-GB"/>
              </w:rPr>
              <w:t>MSP’s role in locating grid connections, platforms and interconnector routes</w:t>
            </w:r>
          </w:p>
        </w:tc>
        <w:tc>
          <w:tcPr>
            <w:tcW w:w="1605" w:type="dxa"/>
          </w:tcPr>
          <w:p w:rsidR="00D7163A" w:rsidRPr="00551266" w:rsidRDefault="00D7163A" w:rsidP="00820E66">
            <w:pPr>
              <w:rPr>
                <w:sz w:val="18"/>
                <w:szCs w:val="18"/>
                <w:lang w:val="en-GB"/>
              </w:rPr>
            </w:pPr>
            <w:r>
              <w:rPr>
                <w:sz w:val="18"/>
                <w:szCs w:val="18"/>
                <w:lang w:val="en-GB"/>
              </w:rPr>
              <w:t>Cable corridors are identified in the MSP and space has been designated for cables</w:t>
            </w:r>
          </w:p>
        </w:tc>
        <w:tc>
          <w:tcPr>
            <w:tcW w:w="1134" w:type="dxa"/>
          </w:tcPr>
          <w:p w:rsidR="00D7163A" w:rsidRPr="00551266" w:rsidRDefault="00D7163A" w:rsidP="00820E66">
            <w:pPr>
              <w:rPr>
                <w:sz w:val="18"/>
                <w:szCs w:val="18"/>
                <w:lang w:val="en-GB"/>
              </w:rPr>
            </w:pPr>
          </w:p>
        </w:tc>
        <w:tc>
          <w:tcPr>
            <w:tcW w:w="2677" w:type="dxa"/>
          </w:tcPr>
          <w:p w:rsidR="00D7163A" w:rsidRPr="00551266" w:rsidRDefault="00D7163A" w:rsidP="00820E66">
            <w:pPr>
              <w:rPr>
                <w:sz w:val="18"/>
                <w:szCs w:val="18"/>
                <w:lang w:val="en-GB"/>
              </w:rPr>
            </w:pPr>
            <w:r>
              <w:rPr>
                <w:sz w:val="18"/>
                <w:szCs w:val="18"/>
                <w:lang w:val="en-GB"/>
              </w:rPr>
              <w:t>Definition of subsea cable routes or corridors, platforms and transboundary gates for the grid connection of offshore windfarms and interconnectors within the EEZ in the Site Development Plan and not in the MSP</w:t>
            </w:r>
          </w:p>
        </w:tc>
        <w:tc>
          <w:tcPr>
            <w:tcW w:w="2143" w:type="dxa"/>
          </w:tcPr>
          <w:p w:rsidR="00D7163A" w:rsidRPr="00B71FC1" w:rsidRDefault="00D7163A" w:rsidP="00820E66">
            <w:pPr>
              <w:rPr>
                <w:sz w:val="18"/>
                <w:szCs w:val="18"/>
                <w:lang w:val="en-GB"/>
              </w:rPr>
            </w:pPr>
            <w:r>
              <w:rPr>
                <w:sz w:val="18"/>
                <w:szCs w:val="18"/>
                <w:lang w:val="en-GB"/>
              </w:rPr>
              <w:t>Priority and preferred routes for cables around sand extraction reserve areas which are determined in the</w:t>
            </w:r>
            <w:r w:rsidRPr="00B71FC1">
              <w:rPr>
                <w:rFonts w:eastAsiaTheme="minorEastAsia" w:cs="Arial"/>
                <w:color w:val="000000" w:themeColor="dark1"/>
                <w:kern w:val="24"/>
                <w:lang w:val="en-GB" w:eastAsia="en-GB"/>
              </w:rPr>
              <w:t xml:space="preserve"> </w:t>
            </w:r>
            <w:r w:rsidRPr="00B71FC1">
              <w:rPr>
                <w:sz w:val="18"/>
                <w:szCs w:val="18"/>
                <w:lang w:val="en-GB"/>
              </w:rPr>
              <w:t>Integrated Maritime Spatial Policy map and North Sea Policy Document 2016-2021</w:t>
            </w:r>
          </w:p>
          <w:p w:rsidR="00D7163A" w:rsidRPr="00551266" w:rsidRDefault="00D7163A" w:rsidP="00820E66">
            <w:pPr>
              <w:rPr>
                <w:sz w:val="18"/>
                <w:szCs w:val="18"/>
                <w:lang w:val="en-GB"/>
              </w:rPr>
            </w:pPr>
          </w:p>
        </w:tc>
        <w:tc>
          <w:tcPr>
            <w:tcW w:w="1842" w:type="dxa"/>
          </w:tcPr>
          <w:p w:rsidR="00D7163A" w:rsidRPr="00551266" w:rsidRDefault="00D7163A" w:rsidP="00820E66">
            <w:pPr>
              <w:rPr>
                <w:sz w:val="18"/>
                <w:szCs w:val="18"/>
                <w:lang w:val="en-GB"/>
              </w:rPr>
            </w:pPr>
            <w:r>
              <w:rPr>
                <w:sz w:val="18"/>
                <w:szCs w:val="18"/>
                <w:lang w:val="en-GB"/>
              </w:rPr>
              <w:t>No MSP exists so planning for grid connections and cable routes is yet to be considered</w:t>
            </w:r>
          </w:p>
        </w:tc>
        <w:tc>
          <w:tcPr>
            <w:tcW w:w="2694" w:type="dxa"/>
          </w:tcPr>
          <w:p w:rsidR="00D7163A" w:rsidRPr="00551266" w:rsidRDefault="00D7163A" w:rsidP="00820E66">
            <w:pPr>
              <w:rPr>
                <w:sz w:val="18"/>
                <w:szCs w:val="18"/>
                <w:lang w:val="en-GB"/>
              </w:rPr>
            </w:pPr>
            <w:r w:rsidRPr="0016418D">
              <w:rPr>
                <w:sz w:val="18"/>
                <w:szCs w:val="18"/>
                <w:lang w:val="en-GB"/>
              </w:rPr>
              <w:t>The planning of cables is considered within Scotland’s National Marine Plan (NMP) and planning advice and guidance is captured within the plan’s policies and objectives</w:t>
            </w:r>
            <w:r>
              <w:rPr>
                <w:sz w:val="18"/>
                <w:szCs w:val="18"/>
                <w:lang w:val="en-GB"/>
              </w:rPr>
              <w:t>.</w:t>
            </w:r>
            <w:r w:rsidRPr="0016418D">
              <w:rPr>
                <w:rFonts w:cstheme="minorBidi"/>
                <w:sz w:val="24"/>
                <w:lang w:val="en-GB"/>
              </w:rPr>
              <w:t xml:space="preserve"> </w:t>
            </w:r>
            <w:r w:rsidRPr="0016418D">
              <w:rPr>
                <w:sz w:val="18"/>
                <w:szCs w:val="18"/>
                <w:lang w:val="en-GB"/>
              </w:rPr>
              <w:t xml:space="preserve">There are indicative export cable routes for offshore wind, wave and tidal energy developments identified in Scotland’s NMP </w:t>
            </w:r>
          </w:p>
        </w:tc>
        <w:tc>
          <w:tcPr>
            <w:tcW w:w="1701" w:type="dxa"/>
          </w:tcPr>
          <w:p w:rsidR="00D7163A" w:rsidRPr="00551266" w:rsidRDefault="00D7163A" w:rsidP="00820E66">
            <w:pPr>
              <w:rPr>
                <w:sz w:val="18"/>
                <w:szCs w:val="18"/>
                <w:lang w:val="en-GB"/>
              </w:rPr>
            </w:pPr>
            <w:r w:rsidRPr="0024313C">
              <w:rPr>
                <w:sz w:val="18"/>
                <w:szCs w:val="18"/>
                <w:lang w:val="en-GB"/>
              </w:rPr>
              <w:t>No MSP exists so planning for grid connections and cable routes is yet to be considered</w:t>
            </w:r>
          </w:p>
        </w:tc>
      </w:tr>
      <w:tr w:rsidR="00D7163A" w:rsidRPr="00551266" w:rsidTr="00D7163A">
        <w:tc>
          <w:tcPr>
            <w:tcW w:w="2047" w:type="dxa"/>
            <w:shd w:val="clear" w:color="auto" w:fill="FBD4B4" w:themeFill="accent6" w:themeFillTint="66"/>
          </w:tcPr>
          <w:p w:rsidR="00D7163A" w:rsidRPr="0097109E" w:rsidRDefault="00D7163A" w:rsidP="00820E66">
            <w:pPr>
              <w:rPr>
                <w:sz w:val="18"/>
                <w:szCs w:val="18"/>
                <w:lang w:val="en-GB"/>
              </w:rPr>
            </w:pPr>
            <w:r>
              <w:rPr>
                <w:sz w:val="18"/>
                <w:szCs w:val="18"/>
                <w:lang w:val="en-GB"/>
              </w:rPr>
              <w:t>I</w:t>
            </w:r>
            <w:r w:rsidRPr="0097109E">
              <w:rPr>
                <w:sz w:val="18"/>
                <w:szCs w:val="18"/>
                <w:lang w:val="en-GB"/>
              </w:rPr>
              <w:t xml:space="preserve">ntegration into the </w:t>
            </w:r>
            <w:r>
              <w:rPr>
                <w:sz w:val="18"/>
                <w:szCs w:val="18"/>
                <w:lang w:val="en-GB"/>
              </w:rPr>
              <w:t>onshore</w:t>
            </w:r>
            <w:r w:rsidRPr="0097109E">
              <w:rPr>
                <w:sz w:val="18"/>
                <w:szCs w:val="18"/>
                <w:lang w:val="en-GB"/>
              </w:rPr>
              <w:t xml:space="preserve"> power grid</w:t>
            </w:r>
            <w:r>
              <w:rPr>
                <w:sz w:val="18"/>
                <w:szCs w:val="18"/>
                <w:lang w:val="en-GB"/>
              </w:rPr>
              <w:t>;</w:t>
            </w:r>
          </w:p>
          <w:p w:rsidR="00D7163A" w:rsidRPr="00551266" w:rsidRDefault="00D7163A" w:rsidP="00820E66">
            <w:pPr>
              <w:rPr>
                <w:sz w:val="18"/>
                <w:szCs w:val="18"/>
                <w:lang w:val="en-GB"/>
              </w:rPr>
            </w:pPr>
            <w:r>
              <w:rPr>
                <w:sz w:val="18"/>
                <w:szCs w:val="18"/>
                <w:lang w:val="en-GB"/>
              </w:rPr>
              <w:t xml:space="preserve">Localisation of </w:t>
            </w:r>
            <w:r w:rsidRPr="0097109E">
              <w:rPr>
                <w:sz w:val="18"/>
                <w:szCs w:val="18"/>
                <w:lang w:val="en-GB"/>
              </w:rPr>
              <w:t>grid connection points</w:t>
            </w:r>
          </w:p>
        </w:tc>
        <w:tc>
          <w:tcPr>
            <w:tcW w:w="1605" w:type="dxa"/>
          </w:tcPr>
          <w:p w:rsidR="00D7163A" w:rsidRPr="00551266" w:rsidRDefault="00D7163A" w:rsidP="00820E66">
            <w:pPr>
              <w:rPr>
                <w:sz w:val="18"/>
                <w:szCs w:val="18"/>
                <w:lang w:val="en-GB"/>
              </w:rPr>
            </w:pPr>
          </w:p>
        </w:tc>
        <w:tc>
          <w:tcPr>
            <w:tcW w:w="1134" w:type="dxa"/>
          </w:tcPr>
          <w:p w:rsidR="00D7163A" w:rsidRPr="00551266" w:rsidRDefault="00D7163A" w:rsidP="00820E66">
            <w:pPr>
              <w:rPr>
                <w:sz w:val="18"/>
                <w:szCs w:val="18"/>
                <w:lang w:val="en-GB"/>
              </w:rPr>
            </w:pPr>
          </w:p>
        </w:tc>
        <w:tc>
          <w:tcPr>
            <w:tcW w:w="2677" w:type="dxa"/>
          </w:tcPr>
          <w:p w:rsidR="00D7163A" w:rsidRPr="00551266" w:rsidRDefault="00D7163A" w:rsidP="00820E66">
            <w:pPr>
              <w:rPr>
                <w:sz w:val="18"/>
                <w:szCs w:val="18"/>
                <w:lang w:val="en-GB"/>
              </w:rPr>
            </w:pPr>
            <w:r>
              <w:rPr>
                <w:sz w:val="18"/>
                <w:szCs w:val="18"/>
                <w:lang w:val="en-GB"/>
              </w:rPr>
              <w:t>Onshore grid connection points are defined within the Network Development Plan by the TSOs and Federal states are responsible for the cable routing within the territorial waters</w:t>
            </w:r>
          </w:p>
        </w:tc>
        <w:tc>
          <w:tcPr>
            <w:tcW w:w="2143" w:type="dxa"/>
          </w:tcPr>
          <w:p w:rsidR="00D7163A" w:rsidRPr="00551266" w:rsidRDefault="00D7163A" w:rsidP="00820E66">
            <w:pPr>
              <w:rPr>
                <w:sz w:val="18"/>
                <w:szCs w:val="18"/>
                <w:lang w:val="en-GB"/>
              </w:rPr>
            </w:pPr>
          </w:p>
        </w:tc>
        <w:tc>
          <w:tcPr>
            <w:tcW w:w="1842" w:type="dxa"/>
          </w:tcPr>
          <w:p w:rsidR="00D7163A" w:rsidRPr="00551266" w:rsidRDefault="00D7163A" w:rsidP="00820E66">
            <w:pPr>
              <w:rPr>
                <w:sz w:val="18"/>
                <w:szCs w:val="18"/>
                <w:lang w:val="en-GB"/>
              </w:rPr>
            </w:pPr>
          </w:p>
        </w:tc>
        <w:tc>
          <w:tcPr>
            <w:tcW w:w="2694" w:type="dxa"/>
          </w:tcPr>
          <w:p w:rsidR="00D7163A" w:rsidRPr="00551266" w:rsidRDefault="00D7163A" w:rsidP="00820E66">
            <w:pPr>
              <w:rPr>
                <w:sz w:val="18"/>
                <w:szCs w:val="18"/>
                <w:lang w:val="en-GB"/>
              </w:rPr>
            </w:pPr>
          </w:p>
        </w:tc>
        <w:tc>
          <w:tcPr>
            <w:tcW w:w="1701" w:type="dxa"/>
          </w:tcPr>
          <w:p w:rsidR="00D7163A" w:rsidRPr="00551266" w:rsidRDefault="00D7163A" w:rsidP="00820E66">
            <w:pPr>
              <w:rPr>
                <w:sz w:val="18"/>
                <w:szCs w:val="18"/>
                <w:lang w:val="en-GB"/>
              </w:rPr>
            </w:pPr>
          </w:p>
        </w:tc>
      </w:tr>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sidRPr="00551266">
              <w:rPr>
                <w:sz w:val="18"/>
                <w:szCs w:val="18"/>
                <w:lang w:val="en-GB"/>
              </w:rPr>
              <w:t>MSP linked to permit procedure</w:t>
            </w:r>
          </w:p>
        </w:tc>
        <w:tc>
          <w:tcPr>
            <w:tcW w:w="1605" w:type="dxa"/>
          </w:tcPr>
          <w:p w:rsidR="00D7163A" w:rsidRPr="00551266" w:rsidRDefault="00D7163A" w:rsidP="00820E66">
            <w:pPr>
              <w:rPr>
                <w:sz w:val="18"/>
                <w:szCs w:val="18"/>
                <w:lang w:val="en-GB"/>
              </w:rPr>
            </w:pPr>
            <w:r>
              <w:rPr>
                <w:sz w:val="18"/>
                <w:szCs w:val="18"/>
                <w:lang w:val="en-GB"/>
              </w:rPr>
              <w:t>Cables and interconnector corridors are defined in MSP and developers propose cable routes within the corridors</w:t>
            </w:r>
          </w:p>
        </w:tc>
        <w:tc>
          <w:tcPr>
            <w:tcW w:w="1134" w:type="dxa"/>
          </w:tcPr>
          <w:p w:rsidR="00D7163A" w:rsidRPr="00551266" w:rsidRDefault="00D7163A" w:rsidP="00820E66">
            <w:pPr>
              <w:rPr>
                <w:sz w:val="18"/>
                <w:szCs w:val="18"/>
                <w:lang w:val="en-GB"/>
              </w:rPr>
            </w:pPr>
          </w:p>
        </w:tc>
        <w:tc>
          <w:tcPr>
            <w:tcW w:w="2677" w:type="dxa"/>
          </w:tcPr>
          <w:p w:rsidR="00D7163A" w:rsidRPr="00551266" w:rsidRDefault="00D7163A" w:rsidP="00820E66">
            <w:pPr>
              <w:rPr>
                <w:sz w:val="18"/>
                <w:szCs w:val="18"/>
                <w:lang w:val="en-GB"/>
              </w:rPr>
            </w:pPr>
            <w:r>
              <w:rPr>
                <w:sz w:val="18"/>
                <w:szCs w:val="18"/>
                <w:lang w:val="en-GB"/>
              </w:rPr>
              <w:t>Cables and interconnector routes are defined in MSP, but there is no cable priority area. Only the corridors (meaning gates) to territorial waters or the neighbouring countries are determined. Specifications in sector planning. Interconnectors and cables have to follow the MSP plan.</w:t>
            </w:r>
          </w:p>
        </w:tc>
        <w:tc>
          <w:tcPr>
            <w:tcW w:w="2143" w:type="dxa"/>
          </w:tcPr>
          <w:p w:rsidR="00D7163A" w:rsidRPr="00551266" w:rsidRDefault="00D7163A" w:rsidP="00820E66">
            <w:pPr>
              <w:rPr>
                <w:sz w:val="18"/>
                <w:szCs w:val="18"/>
                <w:lang w:val="en-GB"/>
              </w:rPr>
            </w:pPr>
            <w:r>
              <w:rPr>
                <w:sz w:val="18"/>
                <w:szCs w:val="18"/>
                <w:lang w:val="en-GB"/>
              </w:rPr>
              <w:t>Developers can apply for cable routes within the cable priority areas which are subject to licensing procedures</w:t>
            </w:r>
          </w:p>
        </w:tc>
        <w:tc>
          <w:tcPr>
            <w:tcW w:w="1842" w:type="dxa"/>
          </w:tcPr>
          <w:p w:rsidR="00D7163A" w:rsidRPr="00551266" w:rsidRDefault="00D7163A" w:rsidP="00820E66">
            <w:pPr>
              <w:rPr>
                <w:sz w:val="18"/>
                <w:szCs w:val="18"/>
                <w:lang w:val="en-GB"/>
              </w:rPr>
            </w:pPr>
            <w:r>
              <w:rPr>
                <w:sz w:val="18"/>
                <w:szCs w:val="18"/>
                <w:lang w:val="en-GB"/>
              </w:rPr>
              <w:t xml:space="preserve">MSP not linked to licensing due to no MSP existing. </w:t>
            </w:r>
          </w:p>
        </w:tc>
        <w:tc>
          <w:tcPr>
            <w:tcW w:w="2694" w:type="dxa"/>
          </w:tcPr>
          <w:p w:rsidR="00D7163A" w:rsidRPr="00551266" w:rsidRDefault="00D7163A" w:rsidP="00820E66">
            <w:pPr>
              <w:rPr>
                <w:sz w:val="18"/>
                <w:szCs w:val="18"/>
                <w:lang w:val="en-GB"/>
              </w:rPr>
            </w:pPr>
            <w:r>
              <w:rPr>
                <w:sz w:val="18"/>
                <w:szCs w:val="18"/>
                <w:lang w:val="en-GB"/>
              </w:rPr>
              <w:t>C</w:t>
            </w:r>
            <w:r w:rsidRPr="0016418D">
              <w:rPr>
                <w:sz w:val="18"/>
                <w:szCs w:val="18"/>
                <w:lang w:val="en-GB"/>
              </w:rPr>
              <w:t>able routes are largely proposed by developers for Marine Scotland’s review and the NMP is considered during the licensing process.</w:t>
            </w:r>
            <w:r>
              <w:rPr>
                <w:sz w:val="18"/>
                <w:szCs w:val="18"/>
                <w:lang w:val="en-GB"/>
              </w:rPr>
              <w:t xml:space="preserve"> </w:t>
            </w:r>
          </w:p>
        </w:tc>
        <w:tc>
          <w:tcPr>
            <w:tcW w:w="1701" w:type="dxa"/>
          </w:tcPr>
          <w:p w:rsidR="00D7163A" w:rsidRPr="00551266" w:rsidRDefault="00D7163A" w:rsidP="00820E66">
            <w:pPr>
              <w:rPr>
                <w:sz w:val="18"/>
                <w:szCs w:val="18"/>
                <w:lang w:val="en-GB"/>
              </w:rPr>
            </w:pPr>
            <w:r w:rsidRPr="0024313C">
              <w:rPr>
                <w:sz w:val="18"/>
                <w:szCs w:val="18"/>
                <w:lang w:val="en-GB"/>
              </w:rPr>
              <w:t>MSP not linked to licensing due to no MSP existing.</w:t>
            </w:r>
          </w:p>
        </w:tc>
      </w:tr>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sidRPr="00551266">
              <w:rPr>
                <w:sz w:val="18"/>
                <w:szCs w:val="18"/>
                <w:lang w:val="en-GB"/>
              </w:rPr>
              <w:lastRenderedPageBreak/>
              <w:t>Initiative from the operators or from the authorities/planning process?</w:t>
            </w:r>
          </w:p>
        </w:tc>
        <w:tc>
          <w:tcPr>
            <w:tcW w:w="1605" w:type="dxa"/>
          </w:tcPr>
          <w:p w:rsidR="00D7163A" w:rsidRPr="00551266" w:rsidRDefault="00D7163A" w:rsidP="00820E66">
            <w:pPr>
              <w:rPr>
                <w:sz w:val="18"/>
                <w:szCs w:val="18"/>
                <w:lang w:val="en-GB"/>
              </w:rPr>
            </w:pPr>
            <w:r w:rsidRPr="007320C0">
              <w:rPr>
                <w:sz w:val="18"/>
                <w:szCs w:val="18"/>
                <w:lang w:val="en-GB"/>
              </w:rPr>
              <w:t>Designation of cable corridors and interconnector corridors by authorities (sector planning)</w:t>
            </w:r>
          </w:p>
        </w:tc>
        <w:tc>
          <w:tcPr>
            <w:tcW w:w="1134" w:type="dxa"/>
          </w:tcPr>
          <w:p w:rsidR="00D7163A" w:rsidRPr="00551266" w:rsidRDefault="00D7163A" w:rsidP="00820E66">
            <w:pPr>
              <w:rPr>
                <w:sz w:val="18"/>
                <w:szCs w:val="18"/>
                <w:lang w:val="en-GB"/>
              </w:rPr>
            </w:pPr>
          </w:p>
        </w:tc>
        <w:tc>
          <w:tcPr>
            <w:tcW w:w="2677" w:type="dxa"/>
          </w:tcPr>
          <w:p w:rsidR="00D7163A" w:rsidRPr="00544E08" w:rsidRDefault="00D7163A" w:rsidP="00820E66">
            <w:pPr>
              <w:rPr>
                <w:sz w:val="18"/>
                <w:szCs w:val="18"/>
              </w:rPr>
            </w:pPr>
            <w:r>
              <w:rPr>
                <w:sz w:val="18"/>
                <w:szCs w:val="18"/>
                <w:lang w:val="en-GB"/>
              </w:rPr>
              <w:t xml:space="preserve">Designation of cable corridors and interconnector corridors by authorities (sector planning) </w:t>
            </w:r>
          </w:p>
        </w:tc>
        <w:tc>
          <w:tcPr>
            <w:tcW w:w="2143" w:type="dxa"/>
          </w:tcPr>
          <w:p w:rsidR="00D7163A" w:rsidRPr="00551266" w:rsidRDefault="00D7163A" w:rsidP="00820E66">
            <w:pPr>
              <w:rPr>
                <w:sz w:val="18"/>
                <w:szCs w:val="18"/>
                <w:lang w:val="en-GB"/>
              </w:rPr>
            </w:pPr>
            <w:r w:rsidRPr="00B71FC1">
              <w:rPr>
                <w:sz w:val="18"/>
                <w:szCs w:val="18"/>
                <w:lang w:val="en-GB"/>
              </w:rPr>
              <w:t xml:space="preserve">Designation of cable </w:t>
            </w:r>
            <w:r>
              <w:rPr>
                <w:sz w:val="18"/>
                <w:szCs w:val="18"/>
                <w:lang w:val="en-GB"/>
              </w:rPr>
              <w:t xml:space="preserve">priority areas </w:t>
            </w:r>
            <w:r w:rsidRPr="00B71FC1">
              <w:rPr>
                <w:sz w:val="18"/>
                <w:szCs w:val="18"/>
                <w:lang w:val="en-GB"/>
              </w:rPr>
              <w:t>by authorities (sector planning)</w:t>
            </w:r>
          </w:p>
        </w:tc>
        <w:tc>
          <w:tcPr>
            <w:tcW w:w="1842" w:type="dxa"/>
          </w:tcPr>
          <w:p w:rsidR="00D7163A" w:rsidRPr="00551266" w:rsidRDefault="00D7163A" w:rsidP="00820E66">
            <w:pPr>
              <w:rPr>
                <w:sz w:val="18"/>
                <w:szCs w:val="18"/>
                <w:lang w:val="en-GB"/>
              </w:rPr>
            </w:pPr>
            <w:r>
              <w:rPr>
                <w:sz w:val="18"/>
                <w:szCs w:val="18"/>
                <w:lang w:val="en-GB"/>
              </w:rPr>
              <w:t>Initiative from operators</w:t>
            </w:r>
          </w:p>
        </w:tc>
        <w:tc>
          <w:tcPr>
            <w:tcW w:w="2694" w:type="dxa"/>
          </w:tcPr>
          <w:p w:rsidR="00D7163A" w:rsidRPr="00551266" w:rsidRDefault="00D7163A" w:rsidP="00820E66">
            <w:pPr>
              <w:rPr>
                <w:sz w:val="18"/>
                <w:szCs w:val="18"/>
                <w:lang w:val="en-GB"/>
              </w:rPr>
            </w:pPr>
            <w:r>
              <w:rPr>
                <w:sz w:val="18"/>
                <w:szCs w:val="18"/>
                <w:lang w:val="en-GB"/>
              </w:rPr>
              <w:t>Initiative largely from operators</w:t>
            </w:r>
          </w:p>
        </w:tc>
        <w:tc>
          <w:tcPr>
            <w:tcW w:w="1701" w:type="dxa"/>
          </w:tcPr>
          <w:p w:rsidR="00D7163A" w:rsidRPr="00551266" w:rsidRDefault="00D7163A" w:rsidP="00820E66">
            <w:pPr>
              <w:rPr>
                <w:sz w:val="18"/>
                <w:szCs w:val="18"/>
                <w:lang w:val="en-GB"/>
              </w:rPr>
            </w:pPr>
            <w:r w:rsidRPr="008B065E">
              <w:rPr>
                <w:sz w:val="18"/>
                <w:szCs w:val="18"/>
                <w:lang w:val="en-GB"/>
              </w:rPr>
              <w:t>Initiative from operators</w:t>
            </w:r>
          </w:p>
        </w:tc>
      </w:tr>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sidRPr="00551266">
              <w:rPr>
                <w:sz w:val="18"/>
                <w:szCs w:val="18"/>
                <w:lang w:val="en-GB"/>
              </w:rPr>
              <w:t>Use of planning criteria</w:t>
            </w:r>
            <w:r>
              <w:rPr>
                <w:sz w:val="18"/>
                <w:szCs w:val="18"/>
                <w:lang w:val="en-GB"/>
              </w:rPr>
              <w:t xml:space="preserve"> for cables and platforms</w:t>
            </w:r>
          </w:p>
        </w:tc>
        <w:tc>
          <w:tcPr>
            <w:tcW w:w="1605" w:type="dxa"/>
          </w:tcPr>
          <w:p w:rsidR="00D7163A" w:rsidRPr="00551266" w:rsidRDefault="00D7163A" w:rsidP="00820E66">
            <w:pPr>
              <w:rPr>
                <w:sz w:val="18"/>
                <w:szCs w:val="18"/>
                <w:lang w:val="en-GB"/>
              </w:rPr>
            </w:pPr>
            <w:r>
              <w:rPr>
                <w:sz w:val="18"/>
                <w:szCs w:val="18"/>
                <w:lang w:val="en-GB"/>
              </w:rPr>
              <w:t>Few planning criteria exist including the use of cable corridors</w:t>
            </w:r>
          </w:p>
        </w:tc>
        <w:tc>
          <w:tcPr>
            <w:tcW w:w="1134" w:type="dxa"/>
          </w:tcPr>
          <w:p w:rsidR="00D7163A" w:rsidRPr="00551266" w:rsidRDefault="00D7163A" w:rsidP="00820E66">
            <w:pPr>
              <w:rPr>
                <w:sz w:val="18"/>
                <w:szCs w:val="18"/>
                <w:lang w:val="en-GB"/>
              </w:rPr>
            </w:pPr>
          </w:p>
        </w:tc>
        <w:tc>
          <w:tcPr>
            <w:tcW w:w="2677" w:type="dxa"/>
          </w:tcPr>
          <w:p w:rsidR="00D7163A" w:rsidRPr="00551266" w:rsidRDefault="00D7163A" w:rsidP="00820E66">
            <w:pPr>
              <w:rPr>
                <w:sz w:val="18"/>
                <w:szCs w:val="18"/>
                <w:lang w:val="en-GB"/>
              </w:rPr>
            </w:pPr>
            <w:r>
              <w:rPr>
                <w:sz w:val="18"/>
                <w:szCs w:val="18"/>
                <w:lang w:val="en-GB"/>
              </w:rPr>
              <w:t>Well established planning criteria. Set of criteria has been used (see Spatial Offshore Grid Plan or draft of new Site Development Plan)</w:t>
            </w:r>
          </w:p>
        </w:tc>
        <w:tc>
          <w:tcPr>
            <w:tcW w:w="2143" w:type="dxa"/>
          </w:tcPr>
          <w:p w:rsidR="00D7163A" w:rsidRPr="00551266" w:rsidRDefault="00D7163A" w:rsidP="00820E66">
            <w:pPr>
              <w:rPr>
                <w:sz w:val="18"/>
                <w:szCs w:val="18"/>
                <w:lang w:val="en-GB"/>
              </w:rPr>
            </w:pPr>
            <w:r>
              <w:rPr>
                <w:sz w:val="18"/>
                <w:szCs w:val="18"/>
                <w:lang w:val="en-GB"/>
              </w:rPr>
              <w:t>Established planning criteria such as bundling and routing measures</w:t>
            </w:r>
          </w:p>
        </w:tc>
        <w:tc>
          <w:tcPr>
            <w:tcW w:w="1842" w:type="dxa"/>
          </w:tcPr>
          <w:p w:rsidR="00D7163A" w:rsidRPr="00551266" w:rsidRDefault="00D7163A" w:rsidP="00820E66">
            <w:pPr>
              <w:rPr>
                <w:sz w:val="18"/>
                <w:szCs w:val="18"/>
                <w:lang w:val="en-GB"/>
              </w:rPr>
            </w:pPr>
            <w:r>
              <w:rPr>
                <w:sz w:val="18"/>
                <w:szCs w:val="18"/>
                <w:lang w:val="en-GB"/>
              </w:rPr>
              <w:t>No set planning criteria but environmental issues, biodiversity, visual impact etc. considered during planning</w:t>
            </w:r>
          </w:p>
        </w:tc>
        <w:tc>
          <w:tcPr>
            <w:tcW w:w="2694" w:type="dxa"/>
          </w:tcPr>
          <w:p w:rsidR="00D7163A" w:rsidRPr="00551266" w:rsidRDefault="00D7163A" w:rsidP="00820E66">
            <w:pPr>
              <w:rPr>
                <w:sz w:val="18"/>
                <w:szCs w:val="18"/>
                <w:lang w:val="en-GB"/>
              </w:rPr>
            </w:pPr>
            <w:r>
              <w:rPr>
                <w:sz w:val="18"/>
                <w:szCs w:val="18"/>
                <w:lang w:val="en-GB"/>
              </w:rPr>
              <w:t xml:space="preserve">Less established planning criteria than for example, Germany. Some Government-led and some Industry-led criteria. Some are more guidelines rather than strict rules that are at the </w:t>
            </w:r>
            <w:proofErr w:type="gramStart"/>
            <w:r>
              <w:rPr>
                <w:sz w:val="18"/>
                <w:szCs w:val="18"/>
                <w:lang w:val="en-GB"/>
              </w:rPr>
              <w:t>developers</w:t>
            </w:r>
            <w:proofErr w:type="gramEnd"/>
            <w:r>
              <w:rPr>
                <w:sz w:val="18"/>
                <w:szCs w:val="18"/>
                <w:lang w:val="en-GB"/>
              </w:rPr>
              <w:t xml:space="preserve"> discretion</w:t>
            </w:r>
          </w:p>
        </w:tc>
        <w:tc>
          <w:tcPr>
            <w:tcW w:w="1701" w:type="dxa"/>
          </w:tcPr>
          <w:p w:rsidR="00D7163A" w:rsidRPr="00551266" w:rsidRDefault="00D7163A" w:rsidP="00820E66">
            <w:pPr>
              <w:rPr>
                <w:sz w:val="18"/>
                <w:szCs w:val="18"/>
                <w:lang w:val="en-GB"/>
              </w:rPr>
            </w:pPr>
            <w:r>
              <w:rPr>
                <w:sz w:val="18"/>
                <w:szCs w:val="18"/>
                <w:lang w:val="en-GB"/>
              </w:rPr>
              <w:t>No established planning criteria</w:t>
            </w:r>
          </w:p>
        </w:tc>
      </w:tr>
      <w:tr w:rsidR="00D7163A" w:rsidRPr="00551266" w:rsidTr="00D7163A">
        <w:tc>
          <w:tcPr>
            <w:tcW w:w="2047" w:type="dxa"/>
            <w:shd w:val="clear" w:color="auto" w:fill="FBD4B4" w:themeFill="accent6" w:themeFillTint="66"/>
          </w:tcPr>
          <w:p w:rsidR="00D7163A" w:rsidRPr="00551266" w:rsidRDefault="00D7163A" w:rsidP="00820E66">
            <w:pPr>
              <w:rPr>
                <w:sz w:val="18"/>
                <w:szCs w:val="18"/>
                <w:lang w:val="en-GB"/>
              </w:rPr>
            </w:pPr>
            <w:r>
              <w:rPr>
                <w:sz w:val="18"/>
                <w:szCs w:val="18"/>
                <w:lang w:val="en-GB"/>
              </w:rPr>
              <w:t>Existing interconnectors</w:t>
            </w:r>
            <w:r w:rsidRPr="00551266">
              <w:rPr>
                <w:sz w:val="18"/>
                <w:szCs w:val="18"/>
                <w:lang w:val="en-GB"/>
              </w:rPr>
              <w:t xml:space="preserve"> </w:t>
            </w:r>
          </w:p>
        </w:tc>
        <w:tc>
          <w:tcPr>
            <w:tcW w:w="1605" w:type="dxa"/>
          </w:tcPr>
          <w:p w:rsidR="00D7163A" w:rsidRDefault="00D7163A" w:rsidP="00820E66">
            <w:pPr>
              <w:rPr>
                <w:sz w:val="18"/>
                <w:szCs w:val="18"/>
                <w:lang w:val="en-GB"/>
              </w:rPr>
            </w:pPr>
            <w:r w:rsidRPr="00703EB1">
              <w:rPr>
                <w:sz w:val="18"/>
                <w:szCs w:val="18"/>
                <w:lang w:val="en-GB"/>
              </w:rPr>
              <w:t>In operation:</w:t>
            </w:r>
          </w:p>
          <w:p w:rsidR="00D7163A" w:rsidRDefault="00D7163A" w:rsidP="00820E66">
            <w:pPr>
              <w:rPr>
                <w:sz w:val="18"/>
                <w:szCs w:val="18"/>
                <w:lang w:val="en-GB"/>
              </w:rPr>
            </w:pPr>
            <w:r>
              <w:rPr>
                <w:sz w:val="18"/>
                <w:szCs w:val="18"/>
                <w:lang w:val="en-GB"/>
              </w:rPr>
              <w:t xml:space="preserve">- </w:t>
            </w:r>
            <w:r w:rsidRPr="00703EB1">
              <w:rPr>
                <w:sz w:val="18"/>
                <w:szCs w:val="18"/>
                <w:lang w:val="en-GB"/>
              </w:rPr>
              <w:t>Nem</w:t>
            </w:r>
            <w:r>
              <w:rPr>
                <w:sz w:val="18"/>
                <w:szCs w:val="18"/>
                <w:lang w:val="en-GB"/>
              </w:rPr>
              <w:t xml:space="preserve">o Link 1 GW to England </w:t>
            </w:r>
          </w:p>
          <w:p w:rsidR="00D7163A" w:rsidRPr="00703EB1" w:rsidRDefault="00D7163A" w:rsidP="00820E66">
            <w:pPr>
              <w:rPr>
                <w:sz w:val="18"/>
                <w:szCs w:val="18"/>
                <w:lang w:val="en-GB"/>
              </w:rPr>
            </w:pPr>
          </w:p>
          <w:p w:rsidR="00D7163A" w:rsidRDefault="00D7163A" w:rsidP="00820E66">
            <w:pPr>
              <w:rPr>
                <w:sz w:val="18"/>
                <w:szCs w:val="18"/>
                <w:lang w:val="en-GB"/>
              </w:rPr>
            </w:pPr>
            <w:r w:rsidRPr="00F17258">
              <w:rPr>
                <w:sz w:val="18"/>
                <w:szCs w:val="18"/>
                <w:lang w:val="en-GB"/>
              </w:rPr>
              <w:t>Concept/early planning:</w:t>
            </w:r>
          </w:p>
          <w:p w:rsidR="00D7163A" w:rsidRPr="00551266" w:rsidRDefault="00D7163A" w:rsidP="00820E66">
            <w:pPr>
              <w:rPr>
                <w:sz w:val="18"/>
                <w:szCs w:val="18"/>
                <w:lang w:val="en-GB"/>
              </w:rPr>
            </w:pPr>
            <w:r>
              <w:rPr>
                <w:sz w:val="18"/>
                <w:szCs w:val="18"/>
                <w:lang w:val="en-GB"/>
              </w:rPr>
              <w:t xml:space="preserve">- </w:t>
            </w:r>
            <w:r w:rsidRPr="00F17258">
              <w:rPr>
                <w:sz w:val="18"/>
                <w:szCs w:val="18"/>
                <w:lang w:val="en-GB"/>
              </w:rPr>
              <w:t xml:space="preserve">Nautilus/Nemo 2 1400 MW </w:t>
            </w:r>
            <w:r>
              <w:rPr>
                <w:sz w:val="18"/>
                <w:szCs w:val="18"/>
                <w:lang w:val="en-GB"/>
              </w:rPr>
              <w:t xml:space="preserve">to </w:t>
            </w:r>
            <w:r w:rsidRPr="00F17258">
              <w:rPr>
                <w:sz w:val="18"/>
                <w:szCs w:val="18"/>
                <w:lang w:val="en-GB"/>
              </w:rPr>
              <w:t>England</w:t>
            </w:r>
            <w:r>
              <w:rPr>
                <w:sz w:val="18"/>
                <w:szCs w:val="18"/>
                <w:lang w:val="en-GB"/>
              </w:rPr>
              <w:t xml:space="preserve"> </w:t>
            </w:r>
          </w:p>
        </w:tc>
        <w:tc>
          <w:tcPr>
            <w:tcW w:w="1134" w:type="dxa"/>
          </w:tcPr>
          <w:p w:rsidR="00D7163A" w:rsidRPr="00703EB1" w:rsidRDefault="00D7163A" w:rsidP="00820E66">
            <w:pPr>
              <w:rPr>
                <w:sz w:val="18"/>
                <w:szCs w:val="18"/>
                <w:lang w:val="en-GB"/>
              </w:rPr>
            </w:pPr>
            <w:r w:rsidRPr="00703EB1">
              <w:rPr>
                <w:sz w:val="18"/>
                <w:szCs w:val="18"/>
                <w:lang w:val="en-GB"/>
              </w:rPr>
              <w:t>Pre-Construction:</w:t>
            </w:r>
          </w:p>
          <w:p w:rsidR="00D7163A" w:rsidRDefault="00D7163A" w:rsidP="00820E66">
            <w:pPr>
              <w:rPr>
                <w:sz w:val="18"/>
                <w:szCs w:val="18"/>
                <w:lang w:val="en-GB"/>
              </w:rPr>
            </w:pPr>
            <w:r>
              <w:rPr>
                <w:sz w:val="18"/>
                <w:szCs w:val="18"/>
                <w:lang w:val="en-GB"/>
              </w:rPr>
              <w:t xml:space="preserve">- Viking Link 1400 </w:t>
            </w:r>
            <w:proofErr w:type="gramStart"/>
            <w:r>
              <w:rPr>
                <w:sz w:val="18"/>
                <w:szCs w:val="18"/>
                <w:lang w:val="en-GB"/>
              </w:rPr>
              <w:t>MW  to</w:t>
            </w:r>
            <w:proofErr w:type="gramEnd"/>
            <w:r>
              <w:rPr>
                <w:sz w:val="18"/>
                <w:szCs w:val="18"/>
                <w:lang w:val="en-GB"/>
              </w:rPr>
              <w:t xml:space="preserve"> England</w:t>
            </w:r>
          </w:p>
          <w:p w:rsidR="00D7163A" w:rsidRPr="00703EB1" w:rsidRDefault="00D7163A" w:rsidP="00820E66">
            <w:pPr>
              <w:rPr>
                <w:sz w:val="18"/>
                <w:szCs w:val="18"/>
                <w:lang w:val="en-GB"/>
              </w:rPr>
            </w:pPr>
          </w:p>
          <w:p w:rsidR="00D7163A" w:rsidRPr="00F17258" w:rsidRDefault="00D7163A" w:rsidP="00820E66">
            <w:pPr>
              <w:rPr>
                <w:sz w:val="18"/>
                <w:szCs w:val="18"/>
                <w:lang w:val="en-GB"/>
              </w:rPr>
            </w:pPr>
            <w:r w:rsidRPr="00F17258">
              <w:rPr>
                <w:sz w:val="18"/>
                <w:szCs w:val="18"/>
                <w:lang w:val="en-GB"/>
              </w:rPr>
              <w:t>Under construction:</w:t>
            </w:r>
          </w:p>
          <w:p w:rsidR="00D7163A" w:rsidRPr="00551266" w:rsidRDefault="00D7163A" w:rsidP="00820E66">
            <w:pPr>
              <w:rPr>
                <w:sz w:val="18"/>
                <w:szCs w:val="18"/>
                <w:lang w:val="en-GB"/>
              </w:rPr>
            </w:pPr>
            <w:r>
              <w:rPr>
                <w:sz w:val="18"/>
                <w:szCs w:val="18"/>
                <w:lang w:val="en-GB"/>
              </w:rPr>
              <w:t>- COBRA cable 700 MW to Netherlands</w:t>
            </w:r>
          </w:p>
        </w:tc>
        <w:tc>
          <w:tcPr>
            <w:tcW w:w="2677" w:type="dxa"/>
          </w:tcPr>
          <w:p w:rsidR="00D7163A" w:rsidRDefault="00D7163A" w:rsidP="00820E66">
            <w:pPr>
              <w:rPr>
                <w:sz w:val="18"/>
                <w:szCs w:val="18"/>
                <w:lang w:val="en-GB"/>
              </w:rPr>
            </w:pPr>
            <w:r>
              <w:rPr>
                <w:sz w:val="18"/>
                <w:szCs w:val="18"/>
                <w:lang w:val="en-GB"/>
              </w:rPr>
              <w:t xml:space="preserve">Interconnectors through EEZ in operation: </w:t>
            </w:r>
          </w:p>
          <w:p w:rsidR="00D7163A" w:rsidRDefault="00D7163A" w:rsidP="00820E66">
            <w:pPr>
              <w:rPr>
                <w:sz w:val="18"/>
                <w:szCs w:val="18"/>
                <w:lang w:val="en-GB"/>
              </w:rPr>
            </w:pPr>
            <w:r w:rsidRPr="00963E9B">
              <w:rPr>
                <w:sz w:val="18"/>
                <w:szCs w:val="18"/>
                <w:lang w:val="en-GB"/>
              </w:rPr>
              <w:t>-</w:t>
            </w:r>
            <w:r>
              <w:rPr>
                <w:sz w:val="18"/>
                <w:szCs w:val="18"/>
                <w:lang w:val="en-GB"/>
              </w:rPr>
              <w:t xml:space="preserve"> </w:t>
            </w:r>
            <w:proofErr w:type="spellStart"/>
            <w:r>
              <w:rPr>
                <w:sz w:val="18"/>
                <w:szCs w:val="18"/>
                <w:lang w:val="en-GB"/>
              </w:rPr>
              <w:t>NorNed</w:t>
            </w:r>
            <w:proofErr w:type="spellEnd"/>
            <w:r>
              <w:rPr>
                <w:sz w:val="18"/>
                <w:szCs w:val="18"/>
                <w:lang w:val="en-GB"/>
              </w:rPr>
              <w:t xml:space="preserve"> (Norway-Netherlands)</w:t>
            </w:r>
          </w:p>
          <w:p w:rsidR="00D7163A" w:rsidRDefault="00D7163A" w:rsidP="00820E66">
            <w:pPr>
              <w:rPr>
                <w:sz w:val="18"/>
                <w:szCs w:val="18"/>
                <w:lang w:val="en-GB"/>
              </w:rPr>
            </w:pPr>
          </w:p>
          <w:p w:rsidR="00D7163A" w:rsidRDefault="00D7163A" w:rsidP="00820E66">
            <w:pPr>
              <w:rPr>
                <w:sz w:val="18"/>
                <w:szCs w:val="18"/>
                <w:lang w:val="en-GB"/>
              </w:rPr>
            </w:pPr>
            <w:r>
              <w:rPr>
                <w:sz w:val="18"/>
                <w:szCs w:val="18"/>
                <w:lang w:val="en-GB"/>
              </w:rPr>
              <w:t xml:space="preserve">Under construction: </w:t>
            </w:r>
          </w:p>
          <w:p w:rsidR="00D7163A" w:rsidRDefault="00D7163A" w:rsidP="00820E66">
            <w:pPr>
              <w:rPr>
                <w:sz w:val="18"/>
                <w:szCs w:val="18"/>
                <w:lang w:val="en-GB"/>
              </w:rPr>
            </w:pPr>
            <w:r w:rsidRPr="00963E9B">
              <w:rPr>
                <w:sz w:val="18"/>
                <w:szCs w:val="18"/>
                <w:lang w:val="en-GB"/>
              </w:rPr>
              <w:t>-</w:t>
            </w:r>
            <w:r>
              <w:rPr>
                <w:sz w:val="18"/>
                <w:szCs w:val="18"/>
                <w:lang w:val="en-GB"/>
              </w:rPr>
              <w:t xml:space="preserve"> </w:t>
            </w:r>
            <w:proofErr w:type="spellStart"/>
            <w:r w:rsidRPr="00963E9B">
              <w:rPr>
                <w:sz w:val="18"/>
                <w:szCs w:val="18"/>
                <w:lang w:val="en-GB"/>
              </w:rPr>
              <w:t>NordLink</w:t>
            </w:r>
            <w:proofErr w:type="spellEnd"/>
            <w:r w:rsidRPr="00963E9B">
              <w:rPr>
                <w:sz w:val="18"/>
                <w:szCs w:val="18"/>
                <w:lang w:val="en-GB"/>
              </w:rPr>
              <w:t xml:space="preserve"> (Norway-Germany)</w:t>
            </w:r>
          </w:p>
          <w:p w:rsidR="00D7163A" w:rsidRDefault="00D7163A" w:rsidP="00820E66">
            <w:pPr>
              <w:rPr>
                <w:sz w:val="18"/>
                <w:szCs w:val="18"/>
                <w:lang w:val="en-GB"/>
              </w:rPr>
            </w:pPr>
            <w:r>
              <w:rPr>
                <w:sz w:val="18"/>
                <w:szCs w:val="18"/>
                <w:lang w:val="en-GB"/>
              </w:rPr>
              <w:t xml:space="preserve">- </w:t>
            </w:r>
            <w:proofErr w:type="spellStart"/>
            <w:r>
              <w:rPr>
                <w:sz w:val="18"/>
                <w:szCs w:val="18"/>
                <w:lang w:val="en-GB"/>
              </w:rPr>
              <w:t>COBRAcable</w:t>
            </w:r>
            <w:proofErr w:type="spellEnd"/>
            <w:r>
              <w:rPr>
                <w:sz w:val="18"/>
                <w:szCs w:val="18"/>
                <w:lang w:val="en-GB"/>
              </w:rPr>
              <w:t xml:space="preserve"> (Netherlands-Denmark)</w:t>
            </w:r>
          </w:p>
          <w:p w:rsidR="00D7163A" w:rsidRDefault="00D7163A" w:rsidP="00820E66">
            <w:pPr>
              <w:rPr>
                <w:sz w:val="18"/>
                <w:szCs w:val="18"/>
                <w:lang w:val="en-GB"/>
              </w:rPr>
            </w:pPr>
          </w:p>
          <w:p w:rsidR="00D7163A" w:rsidRDefault="00D7163A" w:rsidP="00820E66">
            <w:pPr>
              <w:rPr>
                <w:sz w:val="18"/>
                <w:szCs w:val="18"/>
                <w:lang w:val="en-GB"/>
              </w:rPr>
            </w:pPr>
            <w:r>
              <w:rPr>
                <w:sz w:val="18"/>
                <w:szCs w:val="18"/>
                <w:lang w:val="en-GB"/>
              </w:rPr>
              <w:t>Approval procedure:</w:t>
            </w:r>
          </w:p>
          <w:p w:rsidR="00D7163A" w:rsidRDefault="00D7163A" w:rsidP="00820E66">
            <w:pPr>
              <w:rPr>
                <w:sz w:val="18"/>
                <w:szCs w:val="18"/>
                <w:lang w:val="en-GB"/>
              </w:rPr>
            </w:pPr>
            <w:r>
              <w:rPr>
                <w:sz w:val="18"/>
                <w:szCs w:val="18"/>
                <w:lang w:val="en-GB"/>
              </w:rPr>
              <w:t>- Viking Link (Denmark –UK)</w:t>
            </w:r>
          </w:p>
          <w:p w:rsidR="00D7163A" w:rsidRDefault="00D7163A" w:rsidP="00820E66">
            <w:pPr>
              <w:rPr>
                <w:sz w:val="18"/>
                <w:szCs w:val="18"/>
                <w:lang w:val="en-GB"/>
              </w:rPr>
            </w:pPr>
          </w:p>
          <w:p w:rsidR="00D7163A" w:rsidRPr="00F17258" w:rsidRDefault="00D7163A" w:rsidP="00820E66">
            <w:pPr>
              <w:rPr>
                <w:sz w:val="18"/>
                <w:szCs w:val="18"/>
                <w:lang w:val="en-GB"/>
              </w:rPr>
            </w:pPr>
            <w:r w:rsidRPr="00F17258">
              <w:rPr>
                <w:sz w:val="18"/>
                <w:szCs w:val="18"/>
                <w:lang w:val="en-GB"/>
              </w:rPr>
              <w:lastRenderedPageBreak/>
              <w:t>Concept/early planning:</w:t>
            </w:r>
          </w:p>
          <w:p w:rsidR="00D7163A" w:rsidRDefault="00D7163A" w:rsidP="00820E66">
            <w:pPr>
              <w:rPr>
                <w:sz w:val="18"/>
                <w:szCs w:val="18"/>
                <w:lang w:val="en-GB"/>
              </w:rPr>
            </w:pPr>
            <w:r>
              <w:rPr>
                <w:sz w:val="18"/>
                <w:szCs w:val="18"/>
                <w:lang w:val="en-GB"/>
              </w:rPr>
              <w:t xml:space="preserve">- </w:t>
            </w:r>
            <w:proofErr w:type="spellStart"/>
            <w:r w:rsidRPr="00F17258">
              <w:rPr>
                <w:sz w:val="18"/>
                <w:szCs w:val="18"/>
                <w:lang w:val="en-GB"/>
              </w:rPr>
              <w:t>NeuCo</w:t>
            </w:r>
            <w:r>
              <w:rPr>
                <w:sz w:val="18"/>
                <w:szCs w:val="18"/>
                <w:lang w:val="en-GB"/>
              </w:rPr>
              <w:t>nnect</w:t>
            </w:r>
            <w:proofErr w:type="spellEnd"/>
            <w:r>
              <w:rPr>
                <w:sz w:val="18"/>
                <w:szCs w:val="18"/>
                <w:lang w:val="en-GB"/>
              </w:rPr>
              <w:t xml:space="preserve"> 1400 MW to England</w:t>
            </w:r>
          </w:p>
          <w:p w:rsidR="00D7163A" w:rsidRPr="00F17258" w:rsidRDefault="00D7163A" w:rsidP="00820E66">
            <w:pPr>
              <w:rPr>
                <w:sz w:val="18"/>
                <w:szCs w:val="18"/>
                <w:lang w:val="en-GB"/>
              </w:rPr>
            </w:pPr>
            <w:r>
              <w:rPr>
                <w:sz w:val="18"/>
                <w:szCs w:val="18"/>
                <w:lang w:val="en-GB"/>
              </w:rPr>
              <w:t xml:space="preserve">- </w:t>
            </w:r>
            <w:proofErr w:type="spellStart"/>
            <w:r>
              <w:rPr>
                <w:sz w:val="18"/>
                <w:szCs w:val="18"/>
                <w:lang w:val="en-GB"/>
              </w:rPr>
              <w:t>NorGer</w:t>
            </w:r>
            <w:proofErr w:type="spellEnd"/>
            <w:r>
              <w:rPr>
                <w:sz w:val="18"/>
                <w:szCs w:val="18"/>
                <w:lang w:val="en-GB"/>
              </w:rPr>
              <w:t xml:space="preserve"> </w:t>
            </w:r>
            <w:proofErr w:type="spellStart"/>
            <w:r>
              <w:rPr>
                <w:sz w:val="18"/>
                <w:szCs w:val="18"/>
                <w:lang w:val="en-GB"/>
              </w:rPr>
              <w:t>1400 M</w:t>
            </w:r>
            <w:proofErr w:type="spellEnd"/>
            <w:r>
              <w:rPr>
                <w:sz w:val="18"/>
                <w:szCs w:val="18"/>
                <w:lang w:val="en-GB"/>
              </w:rPr>
              <w:t>W to Norway</w:t>
            </w:r>
          </w:p>
          <w:p w:rsidR="00D7163A" w:rsidRPr="00F17258" w:rsidRDefault="00D7163A" w:rsidP="00820E66">
            <w:pPr>
              <w:rPr>
                <w:sz w:val="18"/>
                <w:szCs w:val="18"/>
                <w:lang w:val="en-GB"/>
              </w:rPr>
            </w:pPr>
          </w:p>
        </w:tc>
        <w:tc>
          <w:tcPr>
            <w:tcW w:w="2143" w:type="dxa"/>
          </w:tcPr>
          <w:p w:rsidR="00D7163A" w:rsidRPr="00F17258" w:rsidRDefault="00D7163A" w:rsidP="00820E66">
            <w:pPr>
              <w:rPr>
                <w:sz w:val="18"/>
                <w:szCs w:val="18"/>
                <w:lang w:val="en-GB"/>
              </w:rPr>
            </w:pPr>
            <w:r w:rsidRPr="00F17258">
              <w:rPr>
                <w:sz w:val="18"/>
                <w:szCs w:val="18"/>
                <w:lang w:val="en-GB"/>
              </w:rPr>
              <w:lastRenderedPageBreak/>
              <w:t>In operation:</w:t>
            </w:r>
          </w:p>
          <w:p w:rsidR="00D7163A" w:rsidRDefault="00D7163A" w:rsidP="00820E66">
            <w:pPr>
              <w:rPr>
                <w:sz w:val="18"/>
                <w:szCs w:val="18"/>
                <w:lang w:val="en-GB"/>
              </w:rPr>
            </w:pPr>
            <w:r>
              <w:rPr>
                <w:sz w:val="18"/>
                <w:szCs w:val="18"/>
                <w:lang w:val="en-GB"/>
              </w:rPr>
              <w:t xml:space="preserve">- </w:t>
            </w:r>
            <w:proofErr w:type="spellStart"/>
            <w:r w:rsidRPr="00F17258">
              <w:rPr>
                <w:sz w:val="18"/>
                <w:szCs w:val="18"/>
                <w:lang w:val="en-GB"/>
              </w:rPr>
              <w:t>BritNed</w:t>
            </w:r>
            <w:proofErr w:type="spellEnd"/>
            <w:r w:rsidRPr="00F17258">
              <w:rPr>
                <w:sz w:val="18"/>
                <w:szCs w:val="18"/>
                <w:lang w:val="en-GB"/>
              </w:rPr>
              <w:t xml:space="preserve"> 1 GW </w:t>
            </w:r>
            <w:r>
              <w:rPr>
                <w:sz w:val="18"/>
                <w:szCs w:val="18"/>
                <w:lang w:val="en-GB"/>
              </w:rPr>
              <w:t xml:space="preserve">to </w:t>
            </w:r>
            <w:r w:rsidRPr="00F17258">
              <w:rPr>
                <w:sz w:val="18"/>
                <w:szCs w:val="18"/>
                <w:lang w:val="en-GB"/>
              </w:rPr>
              <w:t>England</w:t>
            </w:r>
          </w:p>
          <w:p w:rsidR="00D7163A" w:rsidRPr="00F17258" w:rsidRDefault="00D7163A" w:rsidP="00820E66">
            <w:pPr>
              <w:rPr>
                <w:sz w:val="18"/>
                <w:szCs w:val="18"/>
                <w:lang w:val="en-GB"/>
              </w:rPr>
            </w:pPr>
            <w:r>
              <w:rPr>
                <w:sz w:val="18"/>
                <w:szCs w:val="18"/>
                <w:lang w:val="en-GB"/>
              </w:rPr>
              <w:t xml:space="preserve">- </w:t>
            </w:r>
            <w:proofErr w:type="spellStart"/>
            <w:r>
              <w:rPr>
                <w:sz w:val="18"/>
                <w:szCs w:val="18"/>
                <w:lang w:val="en-GB"/>
              </w:rPr>
              <w:t>NorNed</w:t>
            </w:r>
            <w:proofErr w:type="spellEnd"/>
            <w:r>
              <w:rPr>
                <w:sz w:val="18"/>
                <w:szCs w:val="18"/>
                <w:lang w:val="en-GB"/>
              </w:rPr>
              <w:t xml:space="preserve"> 700 MW to Norway</w:t>
            </w:r>
          </w:p>
          <w:p w:rsidR="00D7163A" w:rsidRDefault="00D7163A" w:rsidP="00820E66">
            <w:pPr>
              <w:rPr>
                <w:sz w:val="18"/>
                <w:szCs w:val="18"/>
                <w:lang w:val="en-GB"/>
              </w:rPr>
            </w:pPr>
          </w:p>
          <w:p w:rsidR="00D7163A" w:rsidRDefault="00D7163A" w:rsidP="00820E66">
            <w:pPr>
              <w:rPr>
                <w:sz w:val="18"/>
                <w:szCs w:val="18"/>
                <w:lang w:val="en-GB"/>
              </w:rPr>
            </w:pPr>
            <w:r>
              <w:rPr>
                <w:sz w:val="18"/>
                <w:szCs w:val="18"/>
                <w:lang w:val="en-GB"/>
              </w:rPr>
              <w:t>Dormant</w:t>
            </w:r>
          </w:p>
          <w:p w:rsidR="00D7163A" w:rsidRDefault="00D7163A" w:rsidP="00820E66">
            <w:pPr>
              <w:rPr>
                <w:sz w:val="18"/>
                <w:szCs w:val="18"/>
                <w:lang w:val="en-GB"/>
              </w:rPr>
            </w:pPr>
            <w:r>
              <w:rPr>
                <w:sz w:val="18"/>
                <w:szCs w:val="18"/>
                <w:lang w:val="en-GB"/>
              </w:rPr>
              <w:t xml:space="preserve">- </w:t>
            </w:r>
            <w:proofErr w:type="spellStart"/>
            <w:r>
              <w:rPr>
                <w:sz w:val="18"/>
                <w:szCs w:val="18"/>
                <w:lang w:val="en-GB"/>
              </w:rPr>
              <w:t>NorNed</w:t>
            </w:r>
            <w:proofErr w:type="spellEnd"/>
            <w:r>
              <w:rPr>
                <w:sz w:val="18"/>
                <w:szCs w:val="18"/>
                <w:lang w:val="en-GB"/>
              </w:rPr>
              <w:t xml:space="preserve"> 2 700 MW to Norway</w:t>
            </w:r>
          </w:p>
          <w:p w:rsidR="00D7163A" w:rsidRDefault="00D7163A" w:rsidP="00820E66">
            <w:pPr>
              <w:rPr>
                <w:sz w:val="18"/>
                <w:szCs w:val="18"/>
                <w:lang w:val="en-GB"/>
              </w:rPr>
            </w:pPr>
          </w:p>
          <w:p w:rsidR="00D7163A" w:rsidRDefault="00D7163A" w:rsidP="00820E66">
            <w:pPr>
              <w:rPr>
                <w:sz w:val="18"/>
                <w:szCs w:val="18"/>
                <w:lang w:val="en-GB"/>
              </w:rPr>
            </w:pPr>
            <w:r>
              <w:rPr>
                <w:sz w:val="18"/>
                <w:szCs w:val="18"/>
                <w:lang w:val="en-GB"/>
              </w:rPr>
              <w:t>Under construction:</w:t>
            </w:r>
          </w:p>
          <w:p w:rsidR="00D7163A" w:rsidRPr="00F17258" w:rsidRDefault="00D7163A" w:rsidP="00820E66">
            <w:pPr>
              <w:rPr>
                <w:sz w:val="18"/>
                <w:szCs w:val="18"/>
                <w:lang w:val="en-GB"/>
              </w:rPr>
            </w:pPr>
            <w:r>
              <w:rPr>
                <w:sz w:val="18"/>
                <w:szCs w:val="18"/>
                <w:lang w:val="en-GB"/>
              </w:rPr>
              <w:t xml:space="preserve">- COBRA cable 700 MW to Denmark </w:t>
            </w:r>
          </w:p>
        </w:tc>
        <w:tc>
          <w:tcPr>
            <w:tcW w:w="1842" w:type="dxa"/>
          </w:tcPr>
          <w:p w:rsidR="00D7163A" w:rsidRPr="00F17258" w:rsidRDefault="00D7163A" w:rsidP="00820E66">
            <w:pPr>
              <w:rPr>
                <w:sz w:val="18"/>
                <w:szCs w:val="18"/>
                <w:lang w:val="en-GB"/>
              </w:rPr>
            </w:pPr>
            <w:r w:rsidRPr="00F17258">
              <w:rPr>
                <w:sz w:val="18"/>
                <w:szCs w:val="18"/>
                <w:lang w:val="en-GB"/>
              </w:rPr>
              <w:t>In operation:</w:t>
            </w:r>
          </w:p>
          <w:p w:rsidR="00D7163A" w:rsidRDefault="00D7163A" w:rsidP="00820E66">
            <w:pPr>
              <w:rPr>
                <w:sz w:val="18"/>
                <w:szCs w:val="18"/>
                <w:lang w:val="en-GB"/>
              </w:rPr>
            </w:pPr>
            <w:r>
              <w:rPr>
                <w:sz w:val="18"/>
                <w:szCs w:val="18"/>
                <w:lang w:val="en-GB"/>
              </w:rPr>
              <w:t xml:space="preserve">- </w:t>
            </w:r>
            <w:proofErr w:type="spellStart"/>
            <w:r w:rsidRPr="00F17258">
              <w:rPr>
                <w:sz w:val="18"/>
                <w:szCs w:val="18"/>
                <w:lang w:val="en-GB"/>
              </w:rPr>
              <w:t>No</w:t>
            </w:r>
            <w:r>
              <w:rPr>
                <w:sz w:val="18"/>
                <w:szCs w:val="18"/>
                <w:lang w:val="en-GB"/>
              </w:rPr>
              <w:t>rNed</w:t>
            </w:r>
            <w:proofErr w:type="spellEnd"/>
            <w:r>
              <w:rPr>
                <w:sz w:val="18"/>
                <w:szCs w:val="18"/>
                <w:lang w:val="en-GB"/>
              </w:rPr>
              <w:t xml:space="preserve"> 700 MW to Netherlands</w:t>
            </w:r>
          </w:p>
          <w:p w:rsidR="00D7163A" w:rsidRPr="00F17258" w:rsidRDefault="00D7163A" w:rsidP="00820E66">
            <w:pPr>
              <w:rPr>
                <w:sz w:val="18"/>
                <w:szCs w:val="18"/>
                <w:lang w:val="en-GB"/>
              </w:rPr>
            </w:pPr>
            <w:r>
              <w:rPr>
                <w:sz w:val="18"/>
                <w:szCs w:val="18"/>
                <w:lang w:val="en-GB"/>
              </w:rPr>
              <w:t>- Skagerrak 1-4 440 MW to Sweden</w:t>
            </w:r>
          </w:p>
          <w:p w:rsidR="00D7163A" w:rsidRDefault="00D7163A" w:rsidP="00820E66">
            <w:pPr>
              <w:rPr>
                <w:sz w:val="18"/>
                <w:szCs w:val="18"/>
                <w:lang w:val="en-GB"/>
              </w:rPr>
            </w:pPr>
          </w:p>
          <w:p w:rsidR="00D7163A" w:rsidRPr="00F17258" w:rsidRDefault="00D7163A" w:rsidP="00820E66">
            <w:pPr>
              <w:rPr>
                <w:sz w:val="18"/>
                <w:szCs w:val="18"/>
                <w:lang w:val="en-GB"/>
              </w:rPr>
            </w:pPr>
            <w:r w:rsidRPr="00F17258">
              <w:rPr>
                <w:sz w:val="18"/>
                <w:szCs w:val="18"/>
                <w:lang w:val="en-GB"/>
              </w:rPr>
              <w:t>Under construction:</w:t>
            </w:r>
          </w:p>
          <w:p w:rsidR="00D7163A" w:rsidRDefault="00D7163A" w:rsidP="00820E66">
            <w:pPr>
              <w:rPr>
                <w:sz w:val="18"/>
                <w:szCs w:val="18"/>
                <w:lang w:val="en-GB"/>
              </w:rPr>
            </w:pPr>
            <w:r w:rsidRPr="00F17258">
              <w:rPr>
                <w:sz w:val="18"/>
                <w:szCs w:val="18"/>
                <w:lang w:val="en-GB"/>
              </w:rPr>
              <w:t xml:space="preserve">- </w:t>
            </w:r>
            <w:proofErr w:type="spellStart"/>
            <w:r>
              <w:rPr>
                <w:sz w:val="18"/>
                <w:szCs w:val="18"/>
                <w:lang w:val="en-GB"/>
              </w:rPr>
              <w:t>NordLink</w:t>
            </w:r>
            <w:proofErr w:type="spellEnd"/>
            <w:r>
              <w:rPr>
                <w:sz w:val="18"/>
                <w:szCs w:val="18"/>
                <w:lang w:val="en-GB"/>
              </w:rPr>
              <w:t xml:space="preserve"> 1400 MW to Germany</w:t>
            </w:r>
          </w:p>
          <w:p w:rsidR="00D7163A" w:rsidRPr="00F17258" w:rsidRDefault="00D7163A" w:rsidP="00820E66">
            <w:pPr>
              <w:rPr>
                <w:sz w:val="18"/>
                <w:szCs w:val="18"/>
                <w:lang w:val="en-GB"/>
              </w:rPr>
            </w:pPr>
            <w:r>
              <w:rPr>
                <w:sz w:val="18"/>
                <w:szCs w:val="18"/>
                <w:lang w:val="en-GB"/>
              </w:rPr>
              <w:t xml:space="preserve">- </w:t>
            </w:r>
            <w:r w:rsidRPr="00F17258">
              <w:rPr>
                <w:sz w:val="18"/>
                <w:szCs w:val="18"/>
                <w:lang w:val="en-GB"/>
              </w:rPr>
              <w:t xml:space="preserve">North Sea Link 1400 MW </w:t>
            </w:r>
            <w:r>
              <w:rPr>
                <w:sz w:val="18"/>
                <w:szCs w:val="18"/>
                <w:lang w:val="en-GB"/>
              </w:rPr>
              <w:t xml:space="preserve">to </w:t>
            </w:r>
            <w:r w:rsidRPr="00F17258">
              <w:rPr>
                <w:sz w:val="18"/>
                <w:szCs w:val="18"/>
                <w:lang w:val="en-GB"/>
              </w:rPr>
              <w:t xml:space="preserve">England </w:t>
            </w:r>
          </w:p>
          <w:p w:rsidR="00D7163A" w:rsidRDefault="00D7163A" w:rsidP="00820E66">
            <w:pPr>
              <w:rPr>
                <w:sz w:val="18"/>
                <w:szCs w:val="18"/>
                <w:lang w:val="en-GB"/>
              </w:rPr>
            </w:pPr>
          </w:p>
          <w:p w:rsidR="00D7163A" w:rsidRDefault="00D7163A" w:rsidP="00820E66">
            <w:pPr>
              <w:rPr>
                <w:sz w:val="18"/>
                <w:szCs w:val="18"/>
                <w:lang w:val="en-GB"/>
              </w:rPr>
            </w:pPr>
            <w:r w:rsidRPr="00F17258">
              <w:rPr>
                <w:sz w:val="18"/>
                <w:szCs w:val="18"/>
                <w:lang w:val="en-GB"/>
              </w:rPr>
              <w:lastRenderedPageBreak/>
              <w:t>Concept/early planning:</w:t>
            </w:r>
          </w:p>
          <w:p w:rsidR="00D7163A" w:rsidRPr="00F17258" w:rsidRDefault="00D7163A" w:rsidP="00820E66">
            <w:pPr>
              <w:rPr>
                <w:sz w:val="18"/>
                <w:szCs w:val="18"/>
                <w:lang w:val="en-GB"/>
              </w:rPr>
            </w:pPr>
            <w:r>
              <w:rPr>
                <w:sz w:val="18"/>
                <w:szCs w:val="18"/>
                <w:lang w:val="en-GB"/>
              </w:rPr>
              <w:t xml:space="preserve">- </w:t>
            </w:r>
            <w:proofErr w:type="spellStart"/>
            <w:r w:rsidRPr="00F17258">
              <w:rPr>
                <w:sz w:val="18"/>
                <w:szCs w:val="18"/>
                <w:lang w:val="en-GB"/>
              </w:rPr>
              <w:t>NorthConnect</w:t>
            </w:r>
            <w:proofErr w:type="spellEnd"/>
            <w:r w:rsidRPr="00F17258">
              <w:rPr>
                <w:sz w:val="18"/>
                <w:szCs w:val="18"/>
                <w:lang w:val="en-GB"/>
              </w:rPr>
              <w:t xml:space="preserve"> 1400 MW to Scotland</w:t>
            </w:r>
          </w:p>
          <w:p w:rsidR="00D7163A" w:rsidRPr="00551266" w:rsidRDefault="00D7163A" w:rsidP="00820E66">
            <w:pPr>
              <w:rPr>
                <w:sz w:val="18"/>
                <w:szCs w:val="18"/>
                <w:lang w:val="en-GB"/>
              </w:rPr>
            </w:pPr>
            <w:r>
              <w:rPr>
                <w:sz w:val="18"/>
                <w:szCs w:val="18"/>
                <w:lang w:val="en-GB"/>
              </w:rPr>
              <w:t xml:space="preserve">- </w:t>
            </w:r>
            <w:proofErr w:type="spellStart"/>
            <w:r>
              <w:rPr>
                <w:sz w:val="18"/>
                <w:szCs w:val="18"/>
                <w:lang w:val="en-GB"/>
              </w:rPr>
              <w:t>NorGer</w:t>
            </w:r>
            <w:proofErr w:type="spellEnd"/>
            <w:r>
              <w:rPr>
                <w:sz w:val="18"/>
                <w:szCs w:val="18"/>
                <w:lang w:val="en-GB"/>
              </w:rPr>
              <w:t xml:space="preserve"> 1400 MW to Germany</w:t>
            </w:r>
          </w:p>
        </w:tc>
        <w:tc>
          <w:tcPr>
            <w:tcW w:w="2694" w:type="dxa"/>
          </w:tcPr>
          <w:p w:rsidR="00D7163A" w:rsidRPr="0016418D" w:rsidRDefault="00D7163A" w:rsidP="00820E66">
            <w:pPr>
              <w:rPr>
                <w:sz w:val="18"/>
                <w:szCs w:val="18"/>
                <w:lang w:val="en-GB"/>
              </w:rPr>
            </w:pPr>
            <w:r>
              <w:rPr>
                <w:sz w:val="18"/>
                <w:szCs w:val="18"/>
                <w:lang w:val="en-GB"/>
              </w:rPr>
              <w:lastRenderedPageBreak/>
              <w:t>In operation:</w:t>
            </w:r>
          </w:p>
          <w:p w:rsidR="00D7163A" w:rsidRDefault="00D7163A" w:rsidP="00820E66">
            <w:pPr>
              <w:rPr>
                <w:sz w:val="18"/>
                <w:szCs w:val="18"/>
                <w:lang w:val="en-GB"/>
              </w:rPr>
            </w:pPr>
            <w:r>
              <w:rPr>
                <w:sz w:val="18"/>
                <w:szCs w:val="18"/>
                <w:lang w:val="en-GB"/>
              </w:rPr>
              <w:t xml:space="preserve">- </w:t>
            </w:r>
            <w:proofErr w:type="spellStart"/>
            <w:r>
              <w:rPr>
                <w:sz w:val="18"/>
                <w:szCs w:val="18"/>
                <w:lang w:val="en-GB"/>
              </w:rPr>
              <w:t>BritNed</w:t>
            </w:r>
            <w:proofErr w:type="spellEnd"/>
            <w:r>
              <w:rPr>
                <w:sz w:val="18"/>
                <w:szCs w:val="18"/>
                <w:lang w:val="en-GB"/>
              </w:rPr>
              <w:t xml:space="preserve"> </w:t>
            </w:r>
            <w:r w:rsidRPr="0016418D">
              <w:rPr>
                <w:sz w:val="18"/>
                <w:szCs w:val="18"/>
                <w:lang w:val="en-GB"/>
              </w:rPr>
              <w:t>1</w:t>
            </w:r>
            <w:r>
              <w:rPr>
                <w:sz w:val="18"/>
                <w:szCs w:val="18"/>
                <w:lang w:val="en-GB"/>
              </w:rPr>
              <w:t xml:space="preserve"> </w:t>
            </w:r>
            <w:r w:rsidRPr="0016418D">
              <w:rPr>
                <w:sz w:val="18"/>
                <w:szCs w:val="18"/>
                <w:lang w:val="en-GB"/>
              </w:rPr>
              <w:t>GW</w:t>
            </w:r>
            <w:r>
              <w:rPr>
                <w:sz w:val="18"/>
                <w:szCs w:val="18"/>
                <w:lang w:val="en-GB"/>
              </w:rPr>
              <w:t xml:space="preserve"> England</w:t>
            </w:r>
            <w:r w:rsidRPr="0016418D">
              <w:rPr>
                <w:sz w:val="18"/>
                <w:szCs w:val="18"/>
                <w:lang w:val="en-GB"/>
              </w:rPr>
              <w:t xml:space="preserve"> to the Netherlands </w:t>
            </w:r>
          </w:p>
          <w:p w:rsidR="00D7163A" w:rsidRPr="0016418D" w:rsidRDefault="00D7163A" w:rsidP="00820E66">
            <w:pPr>
              <w:rPr>
                <w:sz w:val="18"/>
                <w:szCs w:val="18"/>
                <w:lang w:val="en-GB"/>
              </w:rPr>
            </w:pPr>
            <w:r>
              <w:rPr>
                <w:sz w:val="18"/>
                <w:szCs w:val="18"/>
                <w:lang w:val="en-GB"/>
              </w:rPr>
              <w:t>- Nemo Link 1 GW England to Belgium</w:t>
            </w:r>
          </w:p>
          <w:p w:rsidR="00D7163A" w:rsidRPr="0016418D" w:rsidRDefault="00D7163A" w:rsidP="00820E66">
            <w:pPr>
              <w:rPr>
                <w:sz w:val="18"/>
                <w:szCs w:val="18"/>
                <w:lang w:val="en-GB"/>
              </w:rPr>
            </w:pPr>
          </w:p>
          <w:p w:rsidR="00D7163A" w:rsidRDefault="00D7163A" w:rsidP="00820E66">
            <w:pPr>
              <w:rPr>
                <w:sz w:val="18"/>
                <w:szCs w:val="18"/>
                <w:lang w:val="en-GB"/>
              </w:rPr>
            </w:pPr>
            <w:r>
              <w:rPr>
                <w:sz w:val="18"/>
                <w:szCs w:val="18"/>
                <w:lang w:val="en-GB"/>
              </w:rPr>
              <w:t>Under construction:</w:t>
            </w:r>
          </w:p>
          <w:p w:rsidR="00D7163A" w:rsidRDefault="00D7163A" w:rsidP="00820E66">
            <w:pPr>
              <w:rPr>
                <w:sz w:val="18"/>
                <w:szCs w:val="18"/>
                <w:lang w:val="en-GB"/>
              </w:rPr>
            </w:pPr>
            <w:r>
              <w:rPr>
                <w:sz w:val="18"/>
                <w:szCs w:val="18"/>
                <w:lang w:val="en-GB"/>
              </w:rPr>
              <w:t>- North Sea Link 1400 MW England to Norway</w:t>
            </w:r>
          </w:p>
          <w:p w:rsidR="00D7163A" w:rsidRDefault="00D7163A" w:rsidP="00820E66">
            <w:pPr>
              <w:rPr>
                <w:sz w:val="18"/>
                <w:szCs w:val="18"/>
                <w:lang w:val="en-GB"/>
              </w:rPr>
            </w:pPr>
          </w:p>
          <w:p w:rsidR="00D7163A" w:rsidRDefault="00D7163A" w:rsidP="00820E66">
            <w:pPr>
              <w:rPr>
                <w:sz w:val="18"/>
                <w:szCs w:val="18"/>
                <w:lang w:val="en-GB"/>
              </w:rPr>
            </w:pPr>
            <w:r>
              <w:rPr>
                <w:sz w:val="18"/>
                <w:szCs w:val="18"/>
                <w:lang w:val="en-GB"/>
              </w:rPr>
              <w:t>Pre-Construction:</w:t>
            </w:r>
          </w:p>
          <w:p w:rsidR="00D7163A" w:rsidRDefault="00D7163A" w:rsidP="00820E66">
            <w:pPr>
              <w:rPr>
                <w:sz w:val="18"/>
                <w:szCs w:val="18"/>
                <w:lang w:val="en-GB"/>
              </w:rPr>
            </w:pPr>
            <w:r>
              <w:rPr>
                <w:sz w:val="18"/>
                <w:szCs w:val="18"/>
                <w:lang w:val="en-GB"/>
              </w:rPr>
              <w:t>- Viking Link 1400 MW England to Denmark</w:t>
            </w:r>
          </w:p>
          <w:p w:rsidR="00D7163A" w:rsidRDefault="00D7163A" w:rsidP="00820E66">
            <w:pPr>
              <w:rPr>
                <w:sz w:val="18"/>
                <w:szCs w:val="18"/>
                <w:lang w:val="en-GB"/>
              </w:rPr>
            </w:pPr>
            <w:r>
              <w:rPr>
                <w:sz w:val="18"/>
                <w:szCs w:val="18"/>
                <w:lang w:val="en-GB"/>
              </w:rPr>
              <w:lastRenderedPageBreak/>
              <w:t>Concept/early planning:</w:t>
            </w:r>
          </w:p>
          <w:p w:rsidR="00D7163A" w:rsidRDefault="00D7163A" w:rsidP="00820E66">
            <w:pPr>
              <w:rPr>
                <w:sz w:val="18"/>
                <w:szCs w:val="18"/>
                <w:lang w:val="en-GB"/>
              </w:rPr>
            </w:pPr>
            <w:r>
              <w:rPr>
                <w:sz w:val="18"/>
                <w:szCs w:val="18"/>
                <w:lang w:val="en-GB"/>
              </w:rPr>
              <w:t xml:space="preserve">- </w:t>
            </w:r>
            <w:proofErr w:type="spellStart"/>
            <w:r>
              <w:rPr>
                <w:sz w:val="18"/>
                <w:szCs w:val="18"/>
                <w:lang w:val="en-GB"/>
              </w:rPr>
              <w:t>NeuConnect</w:t>
            </w:r>
            <w:proofErr w:type="spellEnd"/>
            <w:r>
              <w:rPr>
                <w:sz w:val="18"/>
                <w:szCs w:val="18"/>
                <w:lang w:val="en-GB"/>
              </w:rPr>
              <w:t xml:space="preserve"> 1400 MW England to Germany</w:t>
            </w:r>
          </w:p>
          <w:p w:rsidR="00D7163A" w:rsidRDefault="00D7163A" w:rsidP="00820E66">
            <w:pPr>
              <w:rPr>
                <w:sz w:val="18"/>
                <w:szCs w:val="18"/>
                <w:lang w:val="en-GB"/>
              </w:rPr>
            </w:pPr>
            <w:r>
              <w:rPr>
                <w:sz w:val="18"/>
                <w:szCs w:val="18"/>
                <w:lang w:val="en-GB"/>
              </w:rPr>
              <w:t xml:space="preserve">- </w:t>
            </w:r>
            <w:proofErr w:type="spellStart"/>
            <w:r>
              <w:rPr>
                <w:sz w:val="18"/>
                <w:szCs w:val="18"/>
                <w:lang w:val="en-GB"/>
              </w:rPr>
              <w:t>NorthConnect</w:t>
            </w:r>
            <w:proofErr w:type="spellEnd"/>
            <w:r>
              <w:rPr>
                <w:sz w:val="18"/>
                <w:szCs w:val="18"/>
                <w:lang w:val="en-GB"/>
              </w:rPr>
              <w:t xml:space="preserve"> 1400 MW </w:t>
            </w:r>
            <w:proofErr w:type="gramStart"/>
            <w:r>
              <w:rPr>
                <w:sz w:val="18"/>
                <w:szCs w:val="18"/>
                <w:lang w:val="en-GB"/>
              </w:rPr>
              <w:t>Scotland  to</w:t>
            </w:r>
            <w:proofErr w:type="gramEnd"/>
            <w:r>
              <w:rPr>
                <w:sz w:val="18"/>
                <w:szCs w:val="18"/>
                <w:lang w:val="en-GB"/>
              </w:rPr>
              <w:t xml:space="preserve"> Norway</w:t>
            </w:r>
          </w:p>
          <w:p w:rsidR="00D7163A" w:rsidRPr="0016418D" w:rsidRDefault="00D7163A" w:rsidP="00820E66">
            <w:pPr>
              <w:rPr>
                <w:sz w:val="18"/>
                <w:szCs w:val="18"/>
                <w:lang w:val="en-GB"/>
              </w:rPr>
            </w:pPr>
            <w:r>
              <w:rPr>
                <w:sz w:val="18"/>
                <w:szCs w:val="18"/>
                <w:lang w:val="en-GB"/>
              </w:rPr>
              <w:t>- Nautilus/Nemo 2 1400 MW England to Belgium</w:t>
            </w:r>
          </w:p>
        </w:tc>
        <w:tc>
          <w:tcPr>
            <w:tcW w:w="1701" w:type="dxa"/>
          </w:tcPr>
          <w:p w:rsidR="00D7163A" w:rsidRDefault="00D7163A" w:rsidP="00820E66">
            <w:pPr>
              <w:rPr>
                <w:sz w:val="18"/>
                <w:szCs w:val="18"/>
                <w:lang w:val="en-GB"/>
              </w:rPr>
            </w:pPr>
            <w:r>
              <w:rPr>
                <w:sz w:val="18"/>
                <w:szCs w:val="18"/>
                <w:lang w:val="en-GB"/>
              </w:rPr>
              <w:lastRenderedPageBreak/>
              <w:t>In operation:</w:t>
            </w:r>
          </w:p>
          <w:p w:rsidR="00D7163A" w:rsidRPr="00551266" w:rsidRDefault="00D7163A" w:rsidP="00820E66">
            <w:pPr>
              <w:rPr>
                <w:sz w:val="18"/>
                <w:szCs w:val="18"/>
                <w:lang w:val="en-GB"/>
              </w:rPr>
            </w:pPr>
            <w:r>
              <w:rPr>
                <w:sz w:val="18"/>
                <w:szCs w:val="18"/>
                <w:lang w:val="en-GB"/>
              </w:rPr>
              <w:t>- Skagerrak 1-4 440 MW to Norway</w:t>
            </w:r>
          </w:p>
        </w:tc>
      </w:tr>
      <w:tr w:rsidR="00D7163A" w:rsidRPr="00551266" w:rsidTr="00D7163A">
        <w:tc>
          <w:tcPr>
            <w:tcW w:w="2047" w:type="dxa"/>
            <w:shd w:val="clear" w:color="auto" w:fill="FBD4B4" w:themeFill="accent6" w:themeFillTint="66"/>
          </w:tcPr>
          <w:p w:rsidR="00D7163A" w:rsidRDefault="00D7163A" w:rsidP="00820E66">
            <w:pPr>
              <w:rPr>
                <w:sz w:val="18"/>
                <w:szCs w:val="18"/>
                <w:lang w:val="en-GB"/>
              </w:rPr>
            </w:pPr>
            <w:r>
              <w:rPr>
                <w:sz w:val="18"/>
                <w:szCs w:val="18"/>
                <w:lang w:val="en-GB"/>
              </w:rPr>
              <w:t>Existing landing points</w:t>
            </w:r>
          </w:p>
        </w:tc>
        <w:tc>
          <w:tcPr>
            <w:tcW w:w="1605" w:type="dxa"/>
          </w:tcPr>
          <w:p w:rsidR="00D7163A" w:rsidRPr="00551266" w:rsidRDefault="00D7163A" w:rsidP="00820E66">
            <w:pPr>
              <w:rPr>
                <w:sz w:val="18"/>
                <w:szCs w:val="18"/>
                <w:lang w:val="en-GB"/>
              </w:rPr>
            </w:pPr>
          </w:p>
        </w:tc>
        <w:tc>
          <w:tcPr>
            <w:tcW w:w="1134" w:type="dxa"/>
          </w:tcPr>
          <w:p w:rsidR="00D7163A" w:rsidRPr="00551266" w:rsidRDefault="00D7163A" w:rsidP="00820E66">
            <w:pPr>
              <w:rPr>
                <w:sz w:val="18"/>
                <w:szCs w:val="18"/>
                <w:lang w:val="en-GB"/>
              </w:rPr>
            </w:pPr>
          </w:p>
        </w:tc>
        <w:tc>
          <w:tcPr>
            <w:tcW w:w="2677" w:type="dxa"/>
          </w:tcPr>
          <w:p w:rsidR="00D7163A" w:rsidRDefault="00D7163A" w:rsidP="00820E66">
            <w:pPr>
              <w:rPr>
                <w:sz w:val="18"/>
                <w:szCs w:val="18"/>
                <w:lang w:val="en-GB"/>
              </w:rPr>
            </w:pPr>
            <w:r>
              <w:rPr>
                <w:sz w:val="18"/>
                <w:szCs w:val="18"/>
                <w:lang w:val="en-GB"/>
              </w:rPr>
              <w:t>Spatial Offshore Grid plan:</w:t>
            </w:r>
          </w:p>
          <w:p w:rsidR="00D7163A" w:rsidRDefault="00D7163A" w:rsidP="00820E66">
            <w:pPr>
              <w:rPr>
                <w:sz w:val="18"/>
                <w:szCs w:val="18"/>
                <w:lang w:val="en-GB"/>
              </w:rPr>
            </w:pPr>
            <w:r>
              <w:rPr>
                <w:sz w:val="18"/>
                <w:szCs w:val="18"/>
                <w:lang w:val="en-GB"/>
              </w:rPr>
              <w:t>4 gates to territorial sea</w:t>
            </w:r>
          </w:p>
          <w:p w:rsidR="00D7163A" w:rsidRDefault="00D7163A" w:rsidP="00820E66">
            <w:pPr>
              <w:rPr>
                <w:sz w:val="18"/>
                <w:szCs w:val="18"/>
                <w:lang w:val="en-GB"/>
              </w:rPr>
            </w:pPr>
            <w:r>
              <w:rPr>
                <w:sz w:val="18"/>
                <w:szCs w:val="18"/>
                <w:lang w:val="en-GB"/>
              </w:rPr>
              <w:t>13 gates for transboundary connections</w:t>
            </w:r>
          </w:p>
          <w:p w:rsidR="00D7163A" w:rsidRDefault="00D7163A" w:rsidP="00820E66">
            <w:pPr>
              <w:rPr>
                <w:sz w:val="18"/>
                <w:szCs w:val="18"/>
                <w:lang w:val="en-GB"/>
              </w:rPr>
            </w:pPr>
            <w:r>
              <w:rPr>
                <w:sz w:val="18"/>
                <w:szCs w:val="18"/>
                <w:lang w:val="en-GB"/>
              </w:rPr>
              <w:t>Spatial Development Plan (draft):</w:t>
            </w:r>
          </w:p>
          <w:p w:rsidR="00D7163A" w:rsidRDefault="00D7163A" w:rsidP="00820E66">
            <w:pPr>
              <w:rPr>
                <w:sz w:val="18"/>
                <w:szCs w:val="18"/>
                <w:lang w:val="en-GB"/>
              </w:rPr>
            </w:pPr>
            <w:r>
              <w:rPr>
                <w:sz w:val="18"/>
                <w:szCs w:val="18"/>
                <w:lang w:val="en-GB"/>
              </w:rPr>
              <w:t>5 gates to the territorial waters</w:t>
            </w:r>
          </w:p>
          <w:p w:rsidR="00D7163A" w:rsidRDefault="00D7163A" w:rsidP="00820E66">
            <w:pPr>
              <w:rPr>
                <w:sz w:val="18"/>
                <w:szCs w:val="18"/>
                <w:lang w:val="en-GB"/>
              </w:rPr>
            </w:pPr>
            <w:r>
              <w:rPr>
                <w:sz w:val="18"/>
                <w:szCs w:val="18"/>
                <w:lang w:val="en-GB"/>
              </w:rPr>
              <w:t>14 gates for transboundary connections</w:t>
            </w:r>
          </w:p>
          <w:p w:rsidR="00D7163A" w:rsidRPr="00551266" w:rsidRDefault="00D7163A" w:rsidP="00820E66">
            <w:pPr>
              <w:rPr>
                <w:sz w:val="18"/>
                <w:szCs w:val="18"/>
                <w:lang w:val="en-GB"/>
              </w:rPr>
            </w:pPr>
            <w:r>
              <w:rPr>
                <w:sz w:val="18"/>
                <w:szCs w:val="18"/>
                <w:lang w:val="en-GB"/>
              </w:rPr>
              <w:t>6 cable routes for interconnectors</w:t>
            </w:r>
          </w:p>
        </w:tc>
        <w:tc>
          <w:tcPr>
            <w:tcW w:w="2143" w:type="dxa"/>
          </w:tcPr>
          <w:p w:rsidR="00D7163A" w:rsidRPr="00551266" w:rsidRDefault="00D7163A" w:rsidP="00820E66">
            <w:pPr>
              <w:rPr>
                <w:sz w:val="18"/>
                <w:szCs w:val="18"/>
                <w:lang w:val="en-GB"/>
              </w:rPr>
            </w:pPr>
          </w:p>
        </w:tc>
        <w:tc>
          <w:tcPr>
            <w:tcW w:w="1842" w:type="dxa"/>
          </w:tcPr>
          <w:p w:rsidR="00D7163A" w:rsidRPr="00551266" w:rsidRDefault="00D7163A" w:rsidP="00820E66">
            <w:pPr>
              <w:rPr>
                <w:sz w:val="18"/>
                <w:szCs w:val="18"/>
                <w:lang w:val="en-GB"/>
              </w:rPr>
            </w:pPr>
          </w:p>
        </w:tc>
        <w:tc>
          <w:tcPr>
            <w:tcW w:w="2694" w:type="dxa"/>
          </w:tcPr>
          <w:p w:rsidR="00D7163A" w:rsidRPr="00551266" w:rsidRDefault="00D7163A" w:rsidP="00820E66">
            <w:pPr>
              <w:rPr>
                <w:sz w:val="18"/>
                <w:szCs w:val="18"/>
                <w:lang w:val="en-GB"/>
              </w:rPr>
            </w:pPr>
            <w:r>
              <w:rPr>
                <w:sz w:val="18"/>
                <w:szCs w:val="18"/>
                <w:lang w:val="en-GB"/>
              </w:rPr>
              <w:t xml:space="preserve">2 (Peterhead and </w:t>
            </w:r>
            <w:proofErr w:type="spellStart"/>
            <w:r>
              <w:rPr>
                <w:sz w:val="18"/>
                <w:szCs w:val="18"/>
                <w:lang w:val="en-GB"/>
              </w:rPr>
              <w:t>Cockenzie</w:t>
            </w:r>
            <w:proofErr w:type="spellEnd"/>
            <w:r>
              <w:rPr>
                <w:sz w:val="18"/>
                <w:szCs w:val="18"/>
                <w:lang w:val="en-GB"/>
              </w:rPr>
              <w:t>)</w:t>
            </w:r>
          </w:p>
        </w:tc>
        <w:tc>
          <w:tcPr>
            <w:tcW w:w="1701" w:type="dxa"/>
          </w:tcPr>
          <w:p w:rsidR="00D7163A" w:rsidRPr="00551266" w:rsidRDefault="00D7163A" w:rsidP="00820E66">
            <w:pPr>
              <w:rPr>
                <w:sz w:val="18"/>
                <w:szCs w:val="18"/>
                <w:lang w:val="en-GB"/>
              </w:rPr>
            </w:pPr>
          </w:p>
        </w:tc>
      </w:tr>
    </w:tbl>
    <w:p w:rsidR="00D7163A" w:rsidRDefault="00D7163A" w:rsidP="00027832">
      <w:pPr>
        <w:tabs>
          <w:tab w:val="left" w:pos="2640"/>
        </w:tabs>
        <w:ind w:left="-709"/>
        <w:jc w:val="center"/>
        <w:rPr>
          <w:b/>
          <w:lang w:val="en-GB"/>
        </w:rPr>
      </w:pPr>
    </w:p>
    <w:p w:rsidR="00FA42B5" w:rsidRDefault="00FA42B5" w:rsidP="00027832">
      <w:pPr>
        <w:tabs>
          <w:tab w:val="left" w:pos="2640"/>
        </w:tabs>
        <w:ind w:left="-709"/>
        <w:jc w:val="center"/>
        <w:rPr>
          <w:b/>
          <w:lang w:val="en-GB"/>
        </w:rPr>
      </w:pPr>
    </w:p>
    <w:p w:rsidR="00FA42B5" w:rsidRDefault="00FA42B5" w:rsidP="00027832">
      <w:pPr>
        <w:tabs>
          <w:tab w:val="left" w:pos="2640"/>
        </w:tabs>
        <w:ind w:left="-709"/>
        <w:jc w:val="center"/>
        <w:rPr>
          <w:b/>
          <w:lang w:val="en-GB"/>
        </w:rPr>
      </w:pPr>
    </w:p>
    <w:p w:rsidR="00D7163A" w:rsidRDefault="00D7163A" w:rsidP="00027832">
      <w:pPr>
        <w:tabs>
          <w:tab w:val="left" w:pos="2640"/>
        </w:tabs>
        <w:ind w:left="-709"/>
        <w:jc w:val="center"/>
        <w:rPr>
          <w:b/>
          <w:lang w:val="en-GB"/>
        </w:rPr>
      </w:pPr>
    </w:p>
    <w:tbl>
      <w:tblPr>
        <w:tblStyle w:val="Tabellenraster"/>
        <w:tblW w:w="0" w:type="auto"/>
        <w:tblLook w:val="04A0" w:firstRow="1" w:lastRow="0" w:firstColumn="1" w:lastColumn="0" w:noHBand="0" w:noVBand="1"/>
      </w:tblPr>
      <w:tblGrid>
        <w:gridCol w:w="4412"/>
        <w:gridCol w:w="4401"/>
        <w:gridCol w:w="4472"/>
      </w:tblGrid>
      <w:tr w:rsidR="00FA42B5" w:rsidTr="00820E66">
        <w:tc>
          <w:tcPr>
            <w:tcW w:w="5281" w:type="dxa"/>
          </w:tcPr>
          <w:p w:rsidR="00FA42B5" w:rsidRDefault="00FA42B5" w:rsidP="00820E66">
            <w:pPr>
              <w:rPr>
                <w:sz w:val="18"/>
                <w:szCs w:val="18"/>
              </w:rPr>
            </w:pPr>
            <w:r>
              <w:rPr>
                <w:sz w:val="18"/>
                <w:szCs w:val="18"/>
              </w:rPr>
              <w:lastRenderedPageBreak/>
              <w:t>Similarities</w:t>
            </w:r>
          </w:p>
        </w:tc>
        <w:tc>
          <w:tcPr>
            <w:tcW w:w="5281" w:type="dxa"/>
          </w:tcPr>
          <w:p w:rsidR="00FA42B5" w:rsidRDefault="00FA42B5" w:rsidP="00820E66">
            <w:pPr>
              <w:rPr>
                <w:sz w:val="18"/>
                <w:szCs w:val="18"/>
              </w:rPr>
            </w:pPr>
            <w:r>
              <w:rPr>
                <w:sz w:val="18"/>
                <w:szCs w:val="18"/>
              </w:rPr>
              <w:t>Differences</w:t>
            </w:r>
          </w:p>
        </w:tc>
        <w:tc>
          <w:tcPr>
            <w:tcW w:w="5282" w:type="dxa"/>
          </w:tcPr>
          <w:p w:rsidR="00FA42B5" w:rsidRDefault="00FA42B5" w:rsidP="00820E66">
            <w:pPr>
              <w:rPr>
                <w:sz w:val="18"/>
                <w:szCs w:val="18"/>
              </w:rPr>
            </w:pPr>
            <w:r>
              <w:rPr>
                <w:sz w:val="18"/>
                <w:szCs w:val="18"/>
              </w:rPr>
              <w:t>Actions</w:t>
            </w:r>
          </w:p>
        </w:tc>
      </w:tr>
      <w:tr w:rsidR="00FA42B5" w:rsidTr="00820E66">
        <w:tc>
          <w:tcPr>
            <w:tcW w:w="5281" w:type="dxa"/>
          </w:tcPr>
          <w:p w:rsidR="00FA42B5" w:rsidRPr="00CA4C78" w:rsidRDefault="00FA42B5" w:rsidP="00BC3C44">
            <w:pPr>
              <w:pStyle w:val="Listenabsatz"/>
              <w:numPr>
                <w:ilvl w:val="0"/>
                <w:numId w:val="3"/>
              </w:numPr>
              <w:autoSpaceDE/>
              <w:autoSpaceDN/>
              <w:adjustRightInd/>
              <w:spacing w:before="0"/>
              <w:rPr>
                <w:sz w:val="18"/>
                <w:szCs w:val="18"/>
              </w:rPr>
            </w:pPr>
            <w:r w:rsidRPr="00CA4C78">
              <w:rPr>
                <w:sz w:val="18"/>
                <w:szCs w:val="18"/>
              </w:rPr>
              <w:t>Grid plan: always ad hoc (except Germany)</w:t>
            </w:r>
          </w:p>
        </w:tc>
        <w:tc>
          <w:tcPr>
            <w:tcW w:w="5281" w:type="dxa"/>
          </w:tcPr>
          <w:p w:rsidR="00FA42B5" w:rsidRDefault="00FA42B5" w:rsidP="00BC3C44">
            <w:pPr>
              <w:pStyle w:val="Listenabsatz"/>
              <w:numPr>
                <w:ilvl w:val="0"/>
                <w:numId w:val="3"/>
              </w:numPr>
              <w:autoSpaceDE/>
              <w:autoSpaceDN/>
              <w:adjustRightInd/>
              <w:spacing w:before="0"/>
              <w:rPr>
                <w:sz w:val="18"/>
                <w:szCs w:val="18"/>
              </w:rPr>
            </w:pPr>
            <w:r w:rsidRPr="00CA4C78">
              <w:rPr>
                <w:sz w:val="18"/>
                <w:szCs w:val="18"/>
              </w:rPr>
              <w:t>Only some countries have cable corridors</w:t>
            </w:r>
          </w:p>
          <w:p w:rsidR="00FA42B5" w:rsidRPr="00CA4C78" w:rsidRDefault="00FA42B5" w:rsidP="00BC3C44">
            <w:pPr>
              <w:pStyle w:val="Listenabsatz"/>
              <w:numPr>
                <w:ilvl w:val="0"/>
                <w:numId w:val="3"/>
              </w:numPr>
              <w:autoSpaceDE/>
              <w:autoSpaceDN/>
              <w:adjustRightInd/>
              <w:spacing w:before="0"/>
              <w:rPr>
                <w:sz w:val="18"/>
                <w:szCs w:val="18"/>
              </w:rPr>
            </w:pPr>
            <w:r>
              <w:rPr>
                <w:sz w:val="18"/>
                <w:szCs w:val="18"/>
              </w:rPr>
              <w:t>Northern North Sea has enough space</w:t>
            </w:r>
          </w:p>
          <w:p w:rsidR="00FA42B5" w:rsidRDefault="00FA42B5" w:rsidP="00820E66">
            <w:pPr>
              <w:rPr>
                <w:sz w:val="18"/>
                <w:szCs w:val="18"/>
              </w:rPr>
            </w:pPr>
          </w:p>
        </w:tc>
        <w:tc>
          <w:tcPr>
            <w:tcW w:w="5282" w:type="dxa"/>
          </w:tcPr>
          <w:p w:rsidR="00FA42B5" w:rsidRDefault="00FA42B5" w:rsidP="00BC3C44">
            <w:pPr>
              <w:pStyle w:val="Listenabsatz"/>
              <w:numPr>
                <w:ilvl w:val="0"/>
                <w:numId w:val="3"/>
              </w:numPr>
              <w:autoSpaceDE/>
              <w:autoSpaceDN/>
              <w:adjustRightInd/>
              <w:spacing w:before="0"/>
              <w:rPr>
                <w:sz w:val="18"/>
                <w:szCs w:val="18"/>
              </w:rPr>
            </w:pPr>
            <w:r>
              <w:rPr>
                <w:sz w:val="18"/>
                <w:szCs w:val="18"/>
              </w:rPr>
              <w:t>Link in maps the OWF to the grid (existing or to be created)</w:t>
            </w:r>
          </w:p>
          <w:p w:rsidR="00FA42B5" w:rsidRDefault="00FA42B5" w:rsidP="00BC3C44">
            <w:pPr>
              <w:pStyle w:val="Listenabsatz"/>
              <w:numPr>
                <w:ilvl w:val="0"/>
                <w:numId w:val="3"/>
              </w:numPr>
              <w:autoSpaceDE/>
              <w:autoSpaceDN/>
              <w:adjustRightInd/>
              <w:spacing w:before="0"/>
              <w:rPr>
                <w:sz w:val="18"/>
                <w:szCs w:val="18"/>
              </w:rPr>
            </w:pPr>
            <w:r>
              <w:rPr>
                <w:sz w:val="18"/>
                <w:szCs w:val="18"/>
              </w:rPr>
              <w:t>Connect terrestrial land planning to MSP planning</w:t>
            </w:r>
            <w:r>
              <w:rPr>
                <w:sz w:val="18"/>
                <w:szCs w:val="18"/>
              </w:rPr>
              <w:t xml:space="preserve"> </w:t>
            </w:r>
            <w:bookmarkStart w:id="0" w:name="_GoBack"/>
            <w:bookmarkEnd w:id="0"/>
            <w:r>
              <w:rPr>
                <w:sz w:val="18"/>
                <w:szCs w:val="18"/>
              </w:rPr>
              <w:t>when it comes to OWF, grid development &amp; land fall points</w:t>
            </w:r>
          </w:p>
          <w:p w:rsidR="00FA42B5" w:rsidRPr="00CA4C78" w:rsidRDefault="00FA42B5" w:rsidP="00BC3C44">
            <w:pPr>
              <w:pStyle w:val="Listenabsatz"/>
              <w:numPr>
                <w:ilvl w:val="0"/>
                <w:numId w:val="3"/>
              </w:numPr>
              <w:autoSpaceDE/>
              <w:autoSpaceDN/>
              <w:adjustRightInd/>
              <w:spacing w:before="0"/>
              <w:rPr>
                <w:sz w:val="18"/>
                <w:szCs w:val="18"/>
              </w:rPr>
            </w:pPr>
            <w:r>
              <w:rPr>
                <w:sz w:val="18"/>
                <w:szCs w:val="18"/>
              </w:rPr>
              <w:t>Connecting seas through the grid -&gt; one single energy market</w:t>
            </w:r>
          </w:p>
        </w:tc>
      </w:tr>
    </w:tbl>
    <w:p w:rsidR="00D7163A" w:rsidRDefault="00D7163A" w:rsidP="00027832">
      <w:pPr>
        <w:tabs>
          <w:tab w:val="left" w:pos="2640"/>
        </w:tabs>
        <w:ind w:left="-709"/>
        <w:jc w:val="center"/>
        <w:rPr>
          <w:b/>
          <w:lang w:val="en-GB"/>
        </w:rPr>
      </w:pPr>
    </w:p>
    <w:p w:rsidR="004972F7" w:rsidRPr="00352674" w:rsidRDefault="004972F7" w:rsidP="004225D8">
      <w:pPr>
        <w:tabs>
          <w:tab w:val="left" w:pos="2640"/>
        </w:tabs>
        <w:sectPr w:rsidR="004972F7" w:rsidRPr="00352674" w:rsidSect="00D7163A">
          <w:headerReference w:type="default" r:id="rId8"/>
          <w:footerReference w:type="default" r:id="rId9"/>
          <w:pgSz w:w="16839" w:h="11907" w:orient="landscape" w:code="9"/>
          <w:pgMar w:top="1418" w:right="1701" w:bottom="992" w:left="1843" w:header="571" w:footer="1800" w:gutter="0"/>
          <w:cols w:space="720"/>
          <w:docGrid w:linePitch="360"/>
        </w:sectPr>
      </w:pPr>
    </w:p>
    <w:p w:rsidR="00446ABB" w:rsidRPr="00446ABB" w:rsidRDefault="00446ABB" w:rsidP="00446ABB"/>
    <w:sectPr w:rsidR="00446ABB" w:rsidRPr="00446ABB" w:rsidSect="00471650">
      <w:headerReference w:type="default" r:id="rId10"/>
      <w:footerReference w:type="default" r:id="rId11"/>
      <w:pgSz w:w="11907" w:h="16839" w:code="9"/>
      <w:pgMar w:top="1701" w:right="992" w:bottom="1843" w:left="1418" w:header="5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44" w:rsidRDefault="00BC3C44" w:rsidP="00BC146D">
      <w:r>
        <w:separator/>
      </w:r>
    </w:p>
  </w:endnote>
  <w:endnote w:type="continuationSeparator" w:id="0">
    <w:p w:rsidR="00BC3C44" w:rsidRDefault="00BC3C44" w:rsidP="00B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eoSansLight">
    <w:altName w:val="Calibri"/>
    <w:panose1 w:val="020B0604020202020204"/>
    <w:charset w:val="00"/>
    <w:family w:val="auto"/>
    <w:pitch w:val="variable"/>
    <w:sig w:usb0="00000003" w:usb1="00000000" w:usb2="00000000" w:usb3="00000000" w:csb0="00000001" w:csb1="00000000"/>
  </w:font>
  <w:font w:name="Neo Sans Bold">
    <w:altName w:val="Calibri"/>
    <w:panose1 w:val="020B0604020202020204"/>
    <w:charset w:val="00"/>
    <w:family w:val="swiss"/>
    <w:notTrueType/>
    <w:pitch w:val="default"/>
    <w:sig w:usb0="00000003" w:usb1="00000000" w:usb2="00000000" w:usb3="00000000" w:csb0="00000001" w:csb1="00000000"/>
  </w:font>
  <w:font w:name="NeoSans Bold">
    <w:altName w:val="Calibri"/>
    <w:panose1 w:val="020B0604020202020204"/>
    <w:charset w:val="00"/>
    <w:family w:val="auto"/>
    <w:pitch w:val="variable"/>
    <w:sig w:usb0="A00000AF" w:usb1="4000204A" w:usb2="00000000" w:usb3="00000000" w:csb0="00000191" w:csb1="00000000"/>
  </w:font>
  <w:font w:name="Tahoma">
    <w:panose1 w:val="020B0604030504040204"/>
    <w:charset w:val="00"/>
    <w:family w:val="swiss"/>
    <w:pitch w:val="variable"/>
    <w:sig w:usb0="E1002EFF" w:usb1="C000605B" w:usb2="00000029" w:usb3="00000000" w:csb0="000101FF" w:csb1="00000000"/>
  </w:font>
  <w:font w:name="NeoSans Medium">
    <w:altName w:val="Calibri"/>
    <w:panose1 w:val="020B0604020202020204"/>
    <w:charset w:val="00"/>
    <w:family w:val="auto"/>
    <w:pitch w:val="variable"/>
    <w:sig w:usb0="A00000AF" w:usb1="4000204A" w:usb2="00000000" w:usb3="00000000" w:csb0="0000011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Default="00352674" w:rsidP="00BC146D">
    <w:pPr>
      <w:pStyle w:val="Fuzeile"/>
    </w:pPr>
    <w:r>
      <w:rPr>
        <w:noProof/>
      </w:rPr>
      <w:drawing>
        <wp:anchor distT="0" distB="0" distL="114300" distR="114300" simplePos="0" relativeHeight="251664896" behindDoc="1" locked="0" layoutInCell="1" allowOverlap="1" wp14:anchorId="3EDF882F" wp14:editId="20783730">
          <wp:simplePos x="0" y="0"/>
          <wp:positionH relativeFrom="page">
            <wp:align>left</wp:align>
          </wp:positionH>
          <wp:positionV relativeFrom="page">
            <wp:align>bottom</wp:align>
          </wp:positionV>
          <wp:extent cx="10721520" cy="1576080"/>
          <wp:effectExtent l="0" t="0" r="3810" b="5080"/>
          <wp:wrapNone/>
          <wp:docPr id="52"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ea_lapa_A4_horizontal_apaksa-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1520" cy="1576080"/>
                  </a:xfrm>
                  <a:prstGeom prst="rect">
                    <a:avLst/>
                  </a:prstGeom>
                </pic:spPr>
              </pic:pic>
            </a:graphicData>
          </a:graphic>
          <wp14:sizeRelH relativeFrom="page">
            <wp14:pctWidth>0</wp14:pctWidth>
          </wp14:sizeRelH>
          <wp14:sizeRelV relativeFrom="page">
            <wp14:pctHeight>0</wp14:pctHeight>
          </wp14:sizeRelV>
        </wp:anchor>
      </w:drawing>
    </w:r>
    <w:r w:rsidR="004972F7">
      <w:rPr>
        <w:noProof/>
      </w:rPr>
      <w:drawing>
        <wp:anchor distT="0" distB="0" distL="114300" distR="114300" simplePos="0" relativeHeight="251663872" behindDoc="1" locked="0" layoutInCell="1" allowOverlap="1" wp14:anchorId="3EE9E42F" wp14:editId="2DE3BE4F">
          <wp:simplePos x="0" y="0"/>
          <wp:positionH relativeFrom="page">
            <wp:posOffset>-36195</wp:posOffset>
          </wp:positionH>
          <wp:positionV relativeFrom="page">
            <wp:posOffset>9368870</wp:posOffset>
          </wp:positionV>
          <wp:extent cx="7558560" cy="1347480"/>
          <wp:effectExtent l="0" t="0" r="0" b="5080"/>
          <wp:wrapNone/>
          <wp:docPr id="5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8560" cy="13474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Default="00352674" w:rsidP="00BC146D">
    <w:pPr>
      <w:pStyle w:val="Fuzeile"/>
    </w:pPr>
    <w:r>
      <w:rPr>
        <w:noProof/>
      </w:rPr>
      <w:drawing>
        <wp:anchor distT="0" distB="0" distL="114300" distR="114300" simplePos="0" relativeHeight="251668480" behindDoc="1" locked="0" layoutInCell="1" allowOverlap="1" wp14:anchorId="0184172E" wp14:editId="4379FBCE">
          <wp:simplePos x="0" y="0"/>
          <wp:positionH relativeFrom="page">
            <wp:posOffset>-29497</wp:posOffset>
          </wp:positionH>
          <wp:positionV relativeFrom="page">
            <wp:posOffset>9365401</wp:posOffset>
          </wp:positionV>
          <wp:extent cx="7558560" cy="1347130"/>
          <wp:effectExtent l="0" t="0" r="0" b="5715"/>
          <wp:wrapNone/>
          <wp:docPr id="55"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apaksa vertik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560" cy="1347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44" w:rsidRDefault="00BC3C44" w:rsidP="00BC146D">
      <w:r>
        <w:separator/>
      </w:r>
    </w:p>
  </w:footnote>
  <w:footnote w:type="continuationSeparator" w:id="0">
    <w:p w:rsidR="00BC3C44" w:rsidRDefault="00BC3C44" w:rsidP="00BC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2F7" w:rsidRPr="00F92DE1" w:rsidRDefault="004972F7" w:rsidP="00BC146D">
    <w:pPr>
      <w:pStyle w:val="Kopfzeile"/>
      <w:spacing w:before="0"/>
      <w:jc w:val="right"/>
    </w:pPr>
    <w:r>
      <w:rPr>
        <w:noProof/>
      </w:rPr>
      <w:drawing>
        <wp:anchor distT="0" distB="0" distL="114300" distR="114300" simplePos="0" relativeHeight="251651584" behindDoc="1" locked="0" layoutInCell="1" allowOverlap="1" wp14:anchorId="586402FD" wp14:editId="0FD37942">
          <wp:simplePos x="0" y="0"/>
          <wp:positionH relativeFrom="page">
            <wp:align>left</wp:align>
          </wp:positionH>
          <wp:positionV relativeFrom="page">
            <wp:align>top</wp:align>
          </wp:positionV>
          <wp:extent cx="10725120" cy="833040"/>
          <wp:effectExtent l="0" t="0" r="635" b="5715"/>
          <wp:wrapNone/>
          <wp:docPr id="51"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25120" cy="83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674" w:rsidRPr="00F92DE1" w:rsidRDefault="00C9738F" w:rsidP="004225D8">
    <w:pPr>
      <w:pStyle w:val="Kopfzeile"/>
      <w:spacing w:before="0"/>
      <w:jc w:val="center"/>
    </w:pPr>
    <w:r>
      <w:rPr>
        <w:noProof/>
      </w:rPr>
      <w:drawing>
        <wp:anchor distT="0" distB="0" distL="114300" distR="114300" simplePos="0" relativeHeight="251660288" behindDoc="1" locked="0" layoutInCell="1" allowOverlap="1" wp14:anchorId="6551DC98" wp14:editId="1088AFFA">
          <wp:simplePos x="0" y="0"/>
          <wp:positionH relativeFrom="page">
            <wp:posOffset>4445</wp:posOffset>
          </wp:positionH>
          <wp:positionV relativeFrom="page">
            <wp:posOffset>4445</wp:posOffset>
          </wp:positionV>
          <wp:extent cx="7559640" cy="751680"/>
          <wp:effectExtent l="0" t="0" r="3810" b="0"/>
          <wp:wrapNone/>
          <wp:docPr id="5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tic Lines (lapa vertikali.png"/>
                  <pic:cNvPicPr/>
                </pic:nvPicPr>
                <pic:blipFill rotWithShape="1">
                  <a:blip r:embed="rId1" cstate="print">
                    <a:extLst>
                      <a:ext uri="{28A0092B-C50C-407E-A947-70E740481C1C}">
                        <a14:useLocalDpi xmlns:a14="http://schemas.microsoft.com/office/drawing/2010/main" val="0"/>
                      </a:ext>
                    </a:extLst>
                  </a:blip>
                  <a:srcRect l="-3836"/>
                  <a:stretch/>
                </pic:blipFill>
                <pic:spPr bwMode="auto">
                  <a:xfrm>
                    <a:off x="0" y="0"/>
                    <a:ext cx="7559640" cy="75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937475360"/>
        <w:docPartObj>
          <w:docPartGallery w:val="Page Numbers (Top of Page)"/>
          <w:docPartUnique/>
        </w:docPartObj>
      </w:sdtPr>
      <w:sdtEndPr>
        <w:rPr>
          <w:noProof/>
        </w:r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15pt;height:9.15pt" o:bullet="t">
        <v:imagedata r:id="rId1" o:title="KVADRATINS"/>
      </v:shape>
    </w:pict>
  </w:numPicBullet>
  <w:abstractNum w:abstractNumId="0" w15:restartNumberingAfterBreak="0">
    <w:nsid w:val="3F3A66AB"/>
    <w:multiLevelType w:val="multilevel"/>
    <w:tmpl w:val="9B0EEBB8"/>
    <w:styleLink w:val="Style1"/>
    <w:lvl w:ilvl="0">
      <w:start w:val="1"/>
      <w:numFmt w:val="bullet"/>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89A379"/>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794E77"/>
    <w:multiLevelType w:val="multilevel"/>
    <w:tmpl w:val="9B0EEBB8"/>
    <w:lvl w:ilvl="0">
      <w:start w:val="1"/>
      <w:numFmt w:val="bullet"/>
      <w:pStyle w:val="Listenabsatz"/>
      <w:lvlText w:val=""/>
      <w:lvlPicBulletId w:val="0"/>
      <w:lvlJc w:val="left"/>
      <w:pPr>
        <w:ind w:left="720" w:hanging="360"/>
      </w:pPr>
      <w:rPr>
        <w:rFonts w:ascii="Symbol" w:hAnsi="Symbol" w:hint="default"/>
        <w:color w:val="auto"/>
        <w:u w:color="8DB3E2" w:themeColor="text2" w:themeTint="66"/>
      </w:rPr>
    </w:lvl>
    <w:lvl w:ilvl="1">
      <w:start w:val="1"/>
      <w:numFmt w:val="bullet"/>
      <w:lvlText w:val=""/>
      <w:lvlJc w:val="left"/>
      <w:pPr>
        <w:ind w:left="1077" w:hanging="368"/>
      </w:pPr>
      <w:rPr>
        <w:rFonts w:ascii="Wingdings" w:hAnsi="Wingdings" w:hint="default"/>
        <w:color w:val="627B8E"/>
      </w:rPr>
    </w:lvl>
    <w:lvl w:ilvl="2">
      <w:start w:val="1"/>
      <w:numFmt w:val="bullet"/>
      <w:lvlText w:val=""/>
      <w:lvlJc w:val="left"/>
      <w:pPr>
        <w:ind w:left="1503" w:hanging="369"/>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2E508F4"/>
    <w:multiLevelType w:val="hybridMultilevel"/>
    <w:tmpl w:val="8B4C4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embedSystemFont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D8"/>
    <w:rsid w:val="00013111"/>
    <w:rsid w:val="00027832"/>
    <w:rsid w:val="00035251"/>
    <w:rsid w:val="000D5E41"/>
    <w:rsid w:val="000E02DF"/>
    <w:rsid w:val="001066E6"/>
    <w:rsid w:val="00194DB8"/>
    <w:rsid w:val="001B1669"/>
    <w:rsid w:val="001E63A2"/>
    <w:rsid w:val="001E7621"/>
    <w:rsid w:val="00262AC7"/>
    <w:rsid w:val="002828DE"/>
    <w:rsid w:val="00300E67"/>
    <w:rsid w:val="00347499"/>
    <w:rsid w:val="00352674"/>
    <w:rsid w:val="00380C20"/>
    <w:rsid w:val="003B3B15"/>
    <w:rsid w:val="003B3FA5"/>
    <w:rsid w:val="004030D9"/>
    <w:rsid w:val="004149BE"/>
    <w:rsid w:val="004225D8"/>
    <w:rsid w:val="00446ABB"/>
    <w:rsid w:val="00450C3F"/>
    <w:rsid w:val="00471650"/>
    <w:rsid w:val="004972F7"/>
    <w:rsid w:val="004A5A30"/>
    <w:rsid w:val="004C2AC0"/>
    <w:rsid w:val="0050402B"/>
    <w:rsid w:val="00521E9F"/>
    <w:rsid w:val="00540365"/>
    <w:rsid w:val="00556CD9"/>
    <w:rsid w:val="005573C1"/>
    <w:rsid w:val="00564FDD"/>
    <w:rsid w:val="00586290"/>
    <w:rsid w:val="005A35C6"/>
    <w:rsid w:val="005E6212"/>
    <w:rsid w:val="00602171"/>
    <w:rsid w:val="0066733D"/>
    <w:rsid w:val="00684B69"/>
    <w:rsid w:val="006A1B50"/>
    <w:rsid w:val="006B7376"/>
    <w:rsid w:val="007358D6"/>
    <w:rsid w:val="007759ED"/>
    <w:rsid w:val="007E56C5"/>
    <w:rsid w:val="0086130D"/>
    <w:rsid w:val="009055EA"/>
    <w:rsid w:val="00954FD8"/>
    <w:rsid w:val="009E0BAB"/>
    <w:rsid w:val="00A30A6C"/>
    <w:rsid w:val="00A34793"/>
    <w:rsid w:val="00A71046"/>
    <w:rsid w:val="00AE273C"/>
    <w:rsid w:val="00B56211"/>
    <w:rsid w:val="00B91CC4"/>
    <w:rsid w:val="00BA0EFD"/>
    <w:rsid w:val="00BC146D"/>
    <w:rsid w:val="00BC3C44"/>
    <w:rsid w:val="00C46159"/>
    <w:rsid w:val="00C75772"/>
    <w:rsid w:val="00C81676"/>
    <w:rsid w:val="00C9738F"/>
    <w:rsid w:val="00CD3084"/>
    <w:rsid w:val="00D2176E"/>
    <w:rsid w:val="00D34A33"/>
    <w:rsid w:val="00D7163A"/>
    <w:rsid w:val="00D9145A"/>
    <w:rsid w:val="00D9410E"/>
    <w:rsid w:val="00E03BAC"/>
    <w:rsid w:val="00E21C24"/>
    <w:rsid w:val="00E5343B"/>
    <w:rsid w:val="00F14DEF"/>
    <w:rsid w:val="00F32ECA"/>
    <w:rsid w:val="00F92DE1"/>
    <w:rsid w:val="00F93C48"/>
    <w:rsid w:val="00FA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521DB"/>
  <w15:docId w15:val="{0ED708D0-27E6-4E49-9741-2BCD9A9C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55EA"/>
    <w:pPr>
      <w:autoSpaceDE w:val="0"/>
      <w:autoSpaceDN w:val="0"/>
      <w:adjustRightInd w:val="0"/>
      <w:spacing w:before="200"/>
    </w:pPr>
    <w:rPr>
      <w:rFonts w:cs="NeoSansLight"/>
    </w:rPr>
  </w:style>
  <w:style w:type="paragraph" w:styleId="berschrift1">
    <w:name w:val="heading 1"/>
    <w:basedOn w:val="Pa3"/>
    <w:next w:val="Standard"/>
    <w:link w:val="berschrift1Zchn"/>
    <w:uiPriority w:val="9"/>
    <w:qFormat/>
    <w:rsid w:val="00D2176E"/>
    <w:pPr>
      <w:spacing w:before="120" w:after="120" w:line="276" w:lineRule="auto"/>
      <w:outlineLvl w:val="0"/>
    </w:pPr>
    <w:rPr>
      <w:rFonts w:ascii="Calibri" w:hAnsi="Calibri"/>
      <w:b/>
      <w:color w:val="4B4F54"/>
      <w:sz w:val="48"/>
    </w:rPr>
  </w:style>
  <w:style w:type="paragraph" w:styleId="berschrift2">
    <w:name w:val="heading 2"/>
    <w:basedOn w:val="Default"/>
    <w:next w:val="Standard"/>
    <w:link w:val="berschrift2Zchn"/>
    <w:uiPriority w:val="9"/>
    <w:unhideWhenUsed/>
    <w:qFormat/>
    <w:rsid w:val="00D2176E"/>
    <w:pPr>
      <w:spacing w:before="200" w:after="200" w:line="241" w:lineRule="atLeast"/>
      <w:outlineLvl w:val="1"/>
    </w:pPr>
    <w:rPr>
      <w:rFonts w:asciiTheme="minorHAnsi" w:hAnsiTheme="minorHAnsi" w:cs="Neo Sans Bold"/>
      <w:b/>
      <w:bCs/>
      <w:color w:val="auto"/>
      <w:sz w:val="32"/>
      <w:szCs w:val="28"/>
    </w:rPr>
  </w:style>
  <w:style w:type="paragraph" w:styleId="berschrift3">
    <w:name w:val="heading 3"/>
    <w:basedOn w:val="Pa1"/>
    <w:next w:val="Standard"/>
    <w:link w:val="berschrift3Zchn"/>
    <w:uiPriority w:val="9"/>
    <w:unhideWhenUsed/>
    <w:qFormat/>
    <w:rsid w:val="00471650"/>
    <w:pPr>
      <w:spacing w:before="200" w:after="200" w:line="220" w:lineRule="atLeast"/>
      <w:outlineLvl w:val="2"/>
    </w:pPr>
    <w:rPr>
      <w:rFonts w:ascii="Calibri" w:hAnsi="Calibri" w:cs="NeoSans Bold"/>
      <w:b/>
      <w:bCs/>
      <w:color w:val="89A379"/>
      <w:sz w:val="28"/>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3BA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03BAC"/>
    <w:rPr>
      <w:lang w:val="lv-LV"/>
    </w:rPr>
  </w:style>
  <w:style w:type="paragraph" w:styleId="Fuzeile">
    <w:name w:val="footer"/>
    <w:basedOn w:val="Standard"/>
    <w:link w:val="FuzeileZchn"/>
    <w:uiPriority w:val="99"/>
    <w:unhideWhenUsed/>
    <w:rsid w:val="00E03BA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03BAC"/>
    <w:rPr>
      <w:lang w:val="lv-LV"/>
    </w:rPr>
  </w:style>
  <w:style w:type="paragraph" w:styleId="Sprechblasentext">
    <w:name w:val="Balloon Text"/>
    <w:basedOn w:val="Standard"/>
    <w:link w:val="SprechblasentextZchn"/>
    <w:uiPriority w:val="99"/>
    <w:semiHidden/>
    <w:unhideWhenUsed/>
    <w:rsid w:val="00E03B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BAC"/>
    <w:rPr>
      <w:rFonts w:ascii="Tahoma" w:hAnsi="Tahoma" w:cs="Tahoma"/>
      <w:sz w:val="16"/>
      <w:szCs w:val="16"/>
      <w:lang w:val="lv-LV"/>
    </w:rPr>
  </w:style>
  <w:style w:type="paragraph" w:customStyle="1" w:styleId="Default">
    <w:name w:val="Default"/>
    <w:rsid w:val="005A35C6"/>
    <w:pPr>
      <w:autoSpaceDE w:val="0"/>
      <w:autoSpaceDN w:val="0"/>
      <w:adjustRightInd w:val="0"/>
      <w:spacing w:after="0" w:line="240" w:lineRule="auto"/>
    </w:pPr>
    <w:rPr>
      <w:rFonts w:ascii="NeoSans Medium" w:hAnsi="NeoSans Medium" w:cs="NeoSans Medium"/>
      <w:color w:val="000000"/>
      <w:sz w:val="24"/>
      <w:szCs w:val="24"/>
    </w:rPr>
  </w:style>
  <w:style w:type="paragraph" w:customStyle="1" w:styleId="Pa1">
    <w:name w:val="Pa1"/>
    <w:basedOn w:val="Default"/>
    <w:next w:val="Default"/>
    <w:uiPriority w:val="99"/>
    <w:rsid w:val="005A35C6"/>
    <w:pPr>
      <w:spacing w:line="221" w:lineRule="atLeast"/>
    </w:pPr>
    <w:rPr>
      <w:rFonts w:cstheme="minorBidi"/>
      <w:color w:val="auto"/>
    </w:rPr>
  </w:style>
  <w:style w:type="paragraph" w:customStyle="1" w:styleId="Pa3">
    <w:name w:val="Pa3"/>
    <w:basedOn w:val="Default"/>
    <w:next w:val="Default"/>
    <w:uiPriority w:val="99"/>
    <w:rsid w:val="001E63A2"/>
    <w:pPr>
      <w:spacing w:line="221" w:lineRule="atLeast"/>
    </w:pPr>
    <w:rPr>
      <w:rFonts w:cstheme="minorBidi"/>
      <w:color w:val="auto"/>
    </w:rPr>
  </w:style>
  <w:style w:type="character" w:customStyle="1" w:styleId="A6">
    <w:name w:val="A6"/>
    <w:uiPriority w:val="99"/>
    <w:rsid w:val="001E63A2"/>
    <w:rPr>
      <w:rFonts w:cs="NeoSans Medium"/>
      <w:color w:val="000000"/>
      <w:sz w:val="46"/>
      <w:szCs w:val="46"/>
    </w:rPr>
  </w:style>
  <w:style w:type="paragraph" w:customStyle="1" w:styleId="Pa4">
    <w:name w:val="Pa4"/>
    <w:basedOn w:val="Default"/>
    <w:next w:val="Default"/>
    <w:uiPriority w:val="99"/>
    <w:rsid w:val="001E63A2"/>
    <w:pPr>
      <w:spacing w:line="221" w:lineRule="atLeast"/>
    </w:pPr>
    <w:rPr>
      <w:rFonts w:cstheme="minorBidi"/>
      <w:color w:val="auto"/>
    </w:rPr>
  </w:style>
  <w:style w:type="character" w:customStyle="1" w:styleId="berschrift1Zchn">
    <w:name w:val="Überschrift 1 Zchn"/>
    <w:basedOn w:val="Absatz-Standardschriftart"/>
    <w:link w:val="berschrift1"/>
    <w:uiPriority w:val="9"/>
    <w:rsid w:val="00D2176E"/>
    <w:rPr>
      <w:rFonts w:ascii="Calibri" w:hAnsi="Calibri"/>
      <w:b/>
      <w:color w:val="4B4F54"/>
      <w:sz w:val="48"/>
      <w:szCs w:val="24"/>
    </w:rPr>
  </w:style>
  <w:style w:type="character" w:customStyle="1" w:styleId="berschrift2Zchn">
    <w:name w:val="Überschrift 2 Zchn"/>
    <w:basedOn w:val="Absatz-Standardschriftart"/>
    <w:link w:val="berschrift2"/>
    <w:uiPriority w:val="9"/>
    <w:rsid w:val="00D2176E"/>
    <w:rPr>
      <w:rFonts w:cs="Neo Sans Bold"/>
      <w:b/>
      <w:bCs/>
      <w:sz w:val="32"/>
      <w:szCs w:val="28"/>
    </w:rPr>
  </w:style>
  <w:style w:type="paragraph" w:customStyle="1" w:styleId="Pa10">
    <w:name w:val="Pa10"/>
    <w:basedOn w:val="Default"/>
    <w:next w:val="Default"/>
    <w:uiPriority w:val="99"/>
    <w:rsid w:val="001E7621"/>
    <w:pPr>
      <w:spacing w:line="241" w:lineRule="atLeast"/>
    </w:pPr>
    <w:rPr>
      <w:rFonts w:cstheme="minorBidi"/>
      <w:color w:val="auto"/>
    </w:rPr>
  </w:style>
  <w:style w:type="character" w:customStyle="1" w:styleId="A1">
    <w:name w:val="A1"/>
    <w:uiPriority w:val="99"/>
    <w:rsid w:val="00C46159"/>
    <w:rPr>
      <w:rFonts w:cs="NeoSans Medium"/>
      <w:color w:val="000000"/>
      <w:sz w:val="46"/>
      <w:szCs w:val="46"/>
    </w:rPr>
  </w:style>
  <w:style w:type="paragraph" w:customStyle="1" w:styleId="Pa5">
    <w:name w:val="Pa5"/>
    <w:basedOn w:val="Default"/>
    <w:next w:val="Default"/>
    <w:uiPriority w:val="99"/>
    <w:rsid w:val="00C46159"/>
    <w:pPr>
      <w:spacing w:line="221" w:lineRule="atLeast"/>
    </w:pPr>
    <w:rPr>
      <w:rFonts w:cstheme="minorBidi"/>
      <w:color w:val="auto"/>
    </w:rPr>
  </w:style>
  <w:style w:type="paragraph" w:customStyle="1" w:styleId="Pa6">
    <w:name w:val="Pa6"/>
    <w:basedOn w:val="Default"/>
    <w:next w:val="Default"/>
    <w:uiPriority w:val="99"/>
    <w:rsid w:val="00C46159"/>
    <w:pPr>
      <w:spacing w:line="221" w:lineRule="atLeast"/>
    </w:pPr>
    <w:rPr>
      <w:rFonts w:cstheme="minorBidi"/>
      <w:color w:val="auto"/>
    </w:rPr>
  </w:style>
  <w:style w:type="character" w:customStyle="1" w:styleId="berschrift3Zchn">
    <w:name w:val="Überschrift 3 Zchn"/>
    <w:basedOn w:val="Absatz-Standardschriftart"/>
    <w:link w:val="berschrift3"/>
    <w:uiPriority w:val="9"/>
    <w:rsid w:val="00471650"/>
    <w:rPr>
      <w:rFonts w:ascii="Calibri" w:hAnsi="Calibri" w:cs="NeoSans Bold"/>
      <w:b/>
      <w:bCs/>
      <w:color w:val="89A379"/>
      <w:sz w:val="28"/>
      <w:szCs w:val="23"/>
    </w:rPr>
  </w:style>
  <w:style w:type="paragraph" w:styleId="Titel">
    <w:name w:val="Title"/>
    <w:basedOn w:val="Pa1"/>
    <w:next w:val="Standard"/>
    <w:link w:val="TitelZchn"/>
    <w:uiPriority w:val="10"/>
    <w:qFormat/>
    <w:rsid w:val="00D2176E"/>
    <w:pPr>
      <w:spacing w:line="360" w:lineRule="auto"/>
      <w:jc w:val="right"/>
    </w:pPr>
    <w:rPr>
      <w:rFonts w:ascii="Calibri" w:hAnsi="Calibri"/>
      <w:b/>
      <w:sz w:val="60"/>
      <w:szCs w:val="58"/>
    </w:rPr>
  </w:style>
  <w:style w:type="character" w:customStyle="1" w:styleId="TitelZchn">
    <w:name w:val="Titel Zchn"/>
    <w:basedOn w:val="Absatz-Standardschriftart"/>
    <w:link w:val="Titel"/>
    <w:uiPriority w:val="10"/>
    <w:rsid w:val="00D2176E"/>
    <w:rPr>
      <w:rFonts w:ascii="Calibri" w:hAnsi="Calibri"/>
      <w:b/>
      <w:sz w:val="60"/>
      <w:szCs w:val="58"/>
    </w:rPr>
  </w:style>
  <w:style w:type="paragraph" w:styleId="Listenabsatz">
    <w:name w:val="List Paragraph"/>
    <w:basedOn w:val="Standard"/>
    <w:uiPriority w:val="34"/>
    <w:qFormat/>
    <w:rsid w:val="007759ED"/>
    <w:pPr>
      <w:numPr>
        <w:numId w:val="1"/>
      </w:numPr>
      <w:contextualSpacing/>
    </w:pPr>
  </w:style>
  <w:style w:type="character" w:customStyle="1" w:styleId="A5">
    <w:name w:val="A5"/>
    <w:uiPriority w:val="99"/>
    <w:rsid w:val="00194DB8"/>
    <w:rPr>
      <w:rFonts w:ascii="NeoSansLight" w:hAnsi="NeoSansLight" w:cs="NeoSansLight"/>
      <w:color w:val="000000"/>
      <w:sz w:val="18"/>
      <w:szCs w:val="18"/>
    </w:rPr>
  </w:style>
  <w:style w:type="paragraph" w:customStyle="1" w:styleId="Pa9">
    <w:name w:val="Pa9"/>
    <w:basedOn w:val="Default"/>
    <w:next w:val="Default"/>
    <w:uiPriority w:val="99"/>
    <w:rsid w:val="00450C3F"/>
    <w:pPr>
      <w:spacing w:line="221" w:lineRule="atLeast"/>
    </w:pPr>
    <w:rPr>
      <w:rFonts w:ascii="NeoSansLight" w:hAnsi="NeoSansLight" w:cstheme="minorBidi"/>
      <w:color w:val="auto"/>
    </w:rPr>
  </w:style>
  <w:style w:type="paragraph" w:customStyle="1" w:styleId="Pa11">
    <w:name w:val="Pa11"/>
    <w:basedOn w:val="Default"/>
    <w:next w:val="Default"/>
    <w:uiPriority w:val="99"/>
    <w:rsid w:val="00450C3F"/>
    <w:pPr>
      <w:spacing w:line="221" w:lineRule="atLeast"/>
    </w:pPr>
    <w:rPr>
      <w:rFonts w:ascii="NeoSansLight" w:hAnsi="NeoSansLight" w:cstheme="minorBidi"/>
      <w:color w:val="auto"/>
    </w:rPr>
  </w:style>
  <w:style w:type="paragraph" w:styleId="Untertitel">
    <w:name w:val="Subtitle"/>
    <w:basedOn w:val="Standard"/>
    <w:next w:val="Standard"/>
    <w:link w:val="UntertitelZchn"/>
    <w:uiPriority w:val="11"/>
    <w:qFormat/>
    <w:rsid w:val="00D2176E"/>
    <w:pPr>
      <w:numPr>
        <w:ilvl w:val="1"/>
      </w:numPr>
    </w:pPr>
    <w:rPr>
      <w:rFonts w:ascii="Calibri" w:eastAsiaTheme="majorEastAsia" w:hAnsi="Calibri" w:cstheme="majorBidi"/>
      <w:b/>
      <w:i/>
      <w:iCs/>
      <w:color w:val="627B8E"/>
      <w:spacing w:val="15"/>
      <w:sz w:val="26"/>
      <w:szCs w:val="24"/>
    </w:rPr>
  </w:style>
  <w:style w:type="character" w:customStyle="1" w:styleId="UntertitelZchn">
    <w:name w:val="Untertitel Zchn"/>
    <w:basedOn w:val="Absatz-Standardschriftart"/>
    <w:link w:val="Untertitel"/>
    <w:uiPriority w:val="11"/>
    <w:rsid w:val="00D2176E"/>
    <w:rPr>
      <w:rFonts w:ascii="Calibri" w:eastAsiaTheme="majorEastAsia" w:hAnsi="Calibri" w:cstheme="majorBidi"/>
      <w:b/>
      <w:i/>
      <w:iCs/>
      <w:color w:val="627B8E"/>
      <w:spacing w:val="15"/>
      <w:sz w:val="26"/>
      <w:szCs w:val="24"/>
    </w:rPr>
  </w:style>
  <w:style w:type="table" w:styleId="Tabellenraster">
    <w:name w:val="Table Grid"/>
    <w:basedOn w:val="NormaleTabelle"/>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446ABB"/>
    <w:pPr>
      <w:spacing w:line="241" w:lineRule="atLeast"/>
    </w:pPr>
    <w:rPr>
      <w:rFonts w:cstheme="minorBidi"/>
      <w:color w:val="auto"/>
    </w:rPr>
  </w:style>
  <w:style w:type="paragraph" w:customStyle="1" w:styleId="Pa21">
    <w:name w:val="Pa21"/>
    <w:basedOn w:val="Default"/>
    <w:next w:val="Default"/>
    <w:uiPriority w:val="99"/>
    <w:rsid w:val="00013111"/>
    <w:pPr>
      <w:spacing w:line="221" w:lineRule="atLeast"/>
    </w:pPr>
    <w:rPr>
      <w:rFonts w:ascii="NeoSansLight" w:hAnsi="NeoSansLight" w:cstheme="minorBidi"/>
      <w:color w:val="auto"/>
    </w:rPr>
  </w:style>
  <w:style w:type="paragraph" w:customStyle="1" w:styleId="Pa12">
    <w:name w:val="Pa12"/>
    <w:basedOn w:val="Default"/>
    <w:next w:val="Default"/>
    <w:uiPriority w:val="99"/>
    <w:rsid w:val="00013111"/>
    <w:pPr>
      <w:spacing w:line="221" w:lineRule="atLeast"/>
    </w:pPr>
    <w:rPr>
      <w:rFonts w:ascii="NeoSansLight" w:hAnsi="NeoSansLight" w:cstheme="minorBidi"/>
      <w:color w:val="auto"/>
    </w:rPr>
  </w:style>
  <w:style w:type="paragraph" w:customStyle="1" w:styleId="Pa13">
    <w:name w:val="Pa13"/>
    <w:basedOn w:val="Default"/>
    <w:next w:val="Default"/>
    <w:uiPriority w:val="99"/>
    <w:rsid w:val="00013111"/>
    <w:pPr>
      <w:spacing w:line="221" w:lineRule="atLeast"/>
    </w:pPr>
    <w:rPr>
      <w:rFonts w:ascii="NeoSansLight" w:hAnsi="NeoSansLight" w:cstheme="minorBidi"/>
      <w:color w:val="auto"/>
    </w:rPr>
  </w:style>
  <w:style w:type="paragraph" w:customStyle="1" w:styleId="Pa22">
    <w:name w:val="Pa22"/>
    <w:basedOn w:val="Default"/>
    <w:next w:val="Default"/>
    <w:uiPriority w:val="99"/>
    <w:rsid w:val="007358D6"/>
    <w:pPr>
      <w:spacing w:line="221" w:lineRule="atLeast"/>
    </w:pPr>
    <w:rPr>
      <w:rFonts w:ascii="NeoSansLight" w:hAnsi="NeoSansLight" w:cstheme="minorBidi"/>
      <w:color w:val="auto"/>
    </w:rPr>
  </w:style>
  <w:style w:type="table" w:customStyle="1" w:styleId="BalticLINes">
    <w:name w:val="Baltic LINes"/>
    <w:basedOn w:val="NormaleTabelle"/>
    <w:uiPriority w:val="99"/>
    <w:rsid w:val="004149BE"/>
    <w:pPr>
      <w:spacing w:after="0" w:line="240" w:lineRule="auto"/>
    </w:pPr>
    <w:tblPr>
      <w:tblBorders>
        <w:top w:val="single" w:sz="36" w:space="0" w:color="91ABB9"/>
        <w:bottom w:val="single" w:sz="36" w:space="0" w:color="91ABB9"/>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9E0BAB"/>
    <w:pPr>
      <w:keepNext/>
      <w:keepLines/>
      <w:autoSpaceDE/>
      <w:autoSpaceDN/>
      <w:adjustRightInd/>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Verzeichnis1">
    <w:name w:val="toc 1"/>
    <w:basedOn w:val="Standard"/>
    <w:next w:val="Standard"/>
    <w:autoRedefine/>
    <w:uiPriority w:val="39"/>
    <w:unhideWhenUsed/>
    <w:rsid w:val="009E0BAB"/>
    <w:pPr>
      <w:spacing w:after="100"/>
    </w:pPr>
  </w:style>
  <w:style w:type="paragraph" w:styleId="Verzeichnis2">
    <w:name w:val="toc 2"/>
    <w:basedOn w:val="Standard"/>
    <w:next w:val="Standard"/>
    <w:autoRedefine/>
    <w:uiPriority w:val="39"/>
    <w:unhideWhenUsed/>
    <w:rsid w:val="009E0BAB"/>
    <w:pPr>
      <w:spacing w:after="100"/>
      <w:ind w:left="220"/>
    </w:pPr>
  </w:style>
  <w:style w:type="paragraph" w:styleId="Verzeichnis3">
    <w:name w:val="toc 3"/>
    <w:basedOn w:val="Standard"/>
    <w:next w:val="Standard"/>
    <w:autoRedefine/>
    <w:uiPriority w:val="39"/>
    <w:unhideWhenUsed/>
    <w:rsid w:val="009E0BAB"/>
    <w:pPr>
      <w:spacing w:after="100"/>
      <w:ind w:left="440"/>
    </w:pPr>
  </w:style>
  <w:style w:type="character" w:styleId="Hyperlink">
    <w:name w:val="Hyperlink"/>
    <w:basedOn w:val="Absatz-Standardschriftart"/>
    <w:uiPriority w:val="99"/>
    <w:unhideWhenUsed/>
    <w:rsid w:val="009E0BAB"/>
    <w:rPr>
      <w:color w:val="0000FF" w:themeColor="hyperlink"/>
      <w:u w:val="single"/>
    </w:rPr>
  </w:style>
  <w:style w:type="paragraph" w:styleId="KeinLeerraum">
    <w:name w:val="No Spacing"/>
    <w:uiPriority w:val="1"/>
    <w:qFormat/>
    <w:rsid w:val="00D2176E"/>
    <w:pPr>
      <w:autoSpaceDE w:val="0"/>
      <w:autoSpaceDN w:val="0"/>
      <w:adjustRightInd w:val="0"/>
      <w:spacing w:after="0" w:line="240" w:lineRule="auto"/>
    </w:pPr>
    <w:rPr>
      <w:rFonts w:cs="NeoSansLight"/>
    </w:rPr>
  </w:style>
  <w:style w:type="character" w:styleId="IntensiveHervorhebung">
    <w:name w:val="Intense Emphasis"/>
    <w:basedOn w:val="Absatz-Standardschriftart"/>
    <w:uiPriority w:val="21"/>
    <w:qFormat/>
    <w:rsid w:val="00D2176E"/>
    <w:rPr>
      <w:b/>
      <w:bCs/>
      <w:i/>
      <w:iCs/>
      <w:color w:val="4F81BD" w:themeColor="accent1"/>
    </w:rPr>
  </w:style>
  <w:style w:type="numbering" w:customStyle="1" w:styleId="Style1">
    <w:name w:val="Style1"/>
    <w:uiPriority w:val="99"/>
    <w:rsid w:val="00262AC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yBook/02_Laufende_Projekte/Baltic%20LINes%20and%20NorthSEE/NorthSEE/Communication/Templates%20for%20word%20pptx%20etc/NorthSEE%20Identity/Templates/North%20SEE%20template%20(Calibri)%20(incl%20A4%20horizo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B07C-28A1-8645-B017-3DC330EB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 SEE template (Calibri) (incl A4 horizontal).dotx</Template>
  <TotalTime>0</TotalTime>
  <Pages>5</Pages>
  <Words>733</Words>
  <Characters>4625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2019-04-16T10:02:00Z</dcterms:created>
  <dcterms:modified xsi:type="dcterms:W3CDTF">2019-04-16T10:02:00Z</dcterms:modified>
</cp:coreProperties>
</file>